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pPr>
        <w:spacing w:line="360" w:lineRule="auto"/>
        <w:rPr>
          <w:rStyle w:val="7"/>
          <w:rFonts w:ascii="仿宋" w:hAnsi="仿宋" w:eastAsia="仿宋" w:cs="方正小标宋_GBK"/>
          <w:b w:val="0"/>
          <w:bCs w:val="0"/>
          <w:color w:val="333333"/>
          <w:kern w:val="0"/>
          <w:sz w:val="44"/>
          <w:szCs w:val="44"/>
          <w:shd w:val="clear" w:color="auto" w:fill="FFFFFF"/>
        </w:rPr>
      </w:pPr>
    </w:p>
    <w:p>
      <w:pPr>
        <w:spacing w:line="360" w:lineRule="auto"/>
        <w:rPr>
          <w:rFonts w:hint="eastAsia" w:ascii="仿宋" w:hAnsi="仿宋" w:eastAsia="仿宋"/>
          <w:sz w:val="44"/>
          <w:szCs w:val="44"/>
        </w:rPr>
      </w:pPr>
    </w:p>
    <w:p>
      <w:pPr>
        <w:spacing w:line="360" w:lineRule="auto"/>
        <w:jc w:val="center"/>
        <w:rPr>
          <w:rFonts w:hint="eastAsia" w:cs="方正小标宋_GBK" w:asciiTheme="majorEastAsia" w:hAnsiTheme="majorEastAsia" w:eastAsiaTheme="majorEastAsia"/>
          <w:sz w:val="44"/>
          <w:szCs w:val="44"/>
        </w:rPr>
      </w:pPr>
      <w:r>
        <w:rPr>
          <w:rFonts w:hint="eastAsia" w:ascii="宋体" w:hAnsi="宋体" w:eastAsia="宋体" w:cs="宋体"/>
          <w:sz w:val="44"/>
          <w:szCs w:val="44"/>
        </w:rPr>
        <w:t>山东省建设工程造价管理办法</w:t>
      </w:r>
    </w:p>
    <w:p>
      <w:pPr>
        <w:spacing w:line="360" w:lineRule="auto"/>
        <w:ind w:firstLine="640" w:firstLineChars="200"/>
        <w:jc w:val="left"/>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（2012年5月10日山东省人民政府令第252号公布 根据2018年1月24日山东省人民政府令第311号《山东省人民政府关于修改〈山东省节约用水办法〉等33件省政府规章的决定》第一次修正 根据2024年1月4日山东省人民政府令第357号《山东省人民政府关于修改和废止部分省政府规章的决定》第二次修正 根据2024年12月13日山东省人民政府令第361号《山东省人民政府关于修改部分省政府规章的决定》第三次修正）</w:t>
      </w:r>
    </w:p>
    <w:p>
      <w:pPr>
        <w:spacing w:line="360" w:lineRule="auto"/>
        <w:jc w:val="center"/>
        <w:rPr>
          <w:rFonts w:hint="eastAsia" w:ascii="仿宋" w:hAnsi="仿宋" w:eastAsia="仿宋"/>
          <w:sz w:val="32"/>
          <w:szCs w:val="32"/>
        </w:rPr>
      </w:pPr>
    </w:p>
    <w:p>
      <w:pPr>
        <w:spacing w:line="360" w:lineRule="auto"/>
        <w:jc w:val="center"/>
        <w:rPr>
          <w:rFonts w:hint="eastAsia" w:ascii="仿宋" w:hAnsi="仿宋" w:eastAsia="仿宋" w:cs="仿宋"/>
          <w:sz w:val="32"/>
          <w:szCs w:val="32"/>
        </w:rPr>
      </w:pPr>
      <w:r>
        <w:rPr>
          <w:rFonts w:hint="eastAsia" w:ascii="黑体" w:hAnsi="黑体" w:eastAsia="黑体" w:cs="黑体"/>
          <w:sz w:val="32"/>
          <w:szCs w:val="32"/>
        </w:rPr>
        <w:t>第一章</w:t>
      </w:r>
      <w:r>
        <w:rPr>
          <w:rFonts w:hint="eastAsia" w:ascii="黑体" w:hAnsi="黑体" w:eastAsia="黑体" w:cs="黑体"/>
          <w:sz w:val="32"/>
          <w:szCs w:val="32"/>
          <w:lang w:eastAsia="zh-CN"/>
        </w:rPr>
        <w:t>　</w:t>
      </w:r>
      <w:r>
        <w:rPr>
          <w:rFonts w:hint="eastAsia" w:ascii="黑体" w:hAnsi="黑体" w:eastAsia="黑体" w:cs="黑体"/>
          <w:sz w:val="32"/>
          <w:szCs w:val="32"/>
        </w:rPr>
        <w:t>总则</w:t>
      </w:r>
    </w:p>
    <w:p>
      <w:pPr>
        <w:spacing w:line="360" w:lineRule="auto"/>
        <w:rPr>
          <w:rFonts w:hint="eastAsia" w:ascii="仿宋" w:hAnsi="仿宋" w:eastAsia="仿宋" w:cs="仿宋"/>
          <w:sz w:val="32"/>
          <w:szCs w:val="32"/>
        </w:rPr>
      </w:pP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黑体" w:hAnsi="黑体" w:eastAsia="黑体" w:cs="黑体"/>
          <w:sz w:val="32"/>
          <w:szCs w:val="32"/>
        </w:rPr>
        <w:t>第一条</w:t>
      </w:r>
      <w:r>
        <w:rPr>
          <w:rFonts w:hint="eastAsia" w:ascii="仿宋" w:hAnsi="仿宋" w:eastAsia="仿宋" w:cs="仿宋"/>
          <w:sz w:val="32"/>
          <w:szCs w:val="32"/>
          <w:lang w:eastAsia="zh-CN"/>
        </w:rPr>
        <w:t>　</w:t>
      </w:r>
      <w:r>
        <w:rPr>
          <w:rFonts w:hint="eastAsia" w:ascii="仿宋" w:hAnsi="仿宋" w:eastAsia="仿宋" w:cs="仿宋"/>
          <w:sz w:val="32"/>
          <w:szCs w:val="32"/>
        </w:rPr>
        <w:t>为了加强建设工程造价管理，规范建设工程造价计价行为，合理确定工程造价，保证工程质量和安全，维护工程建设各方的合法权益，根据有关法律、法规，结合本省实际，制定本办法。</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黑体" w:hAnsi="黑体" w:eastAsia="黑体" w:cs="黑体"/>
          <w:sz w:val="32"/>
          <w:szCs w:val="32"/>
        </w:rPr>
        <w:t>第二条</w:t>
      </w:r>
      <w:r>
        <w:rPr>
          <w:rFonts w:hint="eastAsia" w:ascii="黑体" w:hAnsi="黑体" w:eastAsia="黑体" w:cs="黑体"/>
          <w:sz w:val="32"/>
          <w:szCs w:val="32"/>
          <w:lang w:eastAsia="zh-CN"/>
        </w:rPr>
        <w:t>　</w:t>
      </w:r>
      <w:r>
        <w:rPr>
          <w:rFonts w:hint="eastAsia" w:ascii="仿宋" w:hAnsi="仿宋" w:eastAsia="仿宋" w:cs="仿宋"/>
          <w:sz w:val="32"/>
          <w:szCs w:val="32"/>
        </w:rPr>
        <w:t>在本省行政区域内从事建设工程造价及监督管理活动，应当遵守本办法。</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交通运输、水利等专业建设工程造价管理，国家和省另有规定的，从其规定。</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黑体" w:hAnsi="黑体" w:eastAsia="黑体" w:cs="黑体"/>
          <w:sz w:val="32"/>
          <w:szCs w:val="32"/>
        </w:rPr>
        <w:t>第三条</w:t>
      </w:r>
      <w:r>
        <w:rPr>
          <w:rFonts w:hint="eastAsia" w:ascii="仿宋" w:hAnsi="仿宋" w:eastAsia="仿宋" w:cs="仿宋"/>
          <w:sz w:val="32"/>
          <w:szCs w:val="32"/>
          <w:lang w:eastAsia="zh-CN"/>
        </w:rPr>
        <w:t>　</w:t>
      </w:r>
      <w:r>
        <w:rPr>
          <w:rFonts w:hint="eastAsia" w:ascii="仿宋" w:hAnsi="仿宋" w:eastAsia="仿宋" w:cs="仿宋"/>
          <w:sz w:val="32"/>
          <w:szCs w:val="32"/>
        </w:rPr>
        <w:t>本办法所称建设工程造价，是指工程建设项目从筹建到竣工交付使用所需各项费用。包括建筑安装工程费、设备购置费、工程建设其他费、预备费、建设期间贷款利息以及按照国家和省规定应当计入的其他费用。</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黑体" w:hAnsi="黑体" w:eastAsia="黑体" w:cs="黑体"/>
          <w:sz w:val="32"/>
          <w:szCs w:val="32"/>
        </w:rPr>
        <w:t>第四条</w:t>
      </w:r>
      <w:r>
        <w:rPr>
          <w:rFonts w:hint="eastAsia" w:ascii="仿宋" w:hAnsi="仿宋" w:eastAsia="仿宋" w:cs="仿宋"/>
          <w:sz w:val="32"/>
          <w:szCs w:val="32"/>
          <w:lang w:eastAsia="zh-CN"/>
        </w:rPr>
        <w:t>　</w:t>
      </w:r>
      <w:r>
        <w:rPr>
          <w:rFonts w:hint="eastAsia" w:ascii="仿宋" w:hAnsi="仿宋" w:eastAsia="仿宋" w:cs="仿宋"/>
          <w:sz w:val="32"/>
          <w:szCs w:val="32"/>
        </w:rPr>
        <w:t>从事建设工程造价活动应当遵循合法合理、公平公正、诚实信用的原则，不得损害国家利益、社会公共利益和他人的合法权益。</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黑体" w:hAnsi="黑体" w:eastAsia="黑体" w:cs="黑体"/>
          <w:sz w:val="32"/>
          <w:szCs w:val="32"/>
        </w:rPr>
        <w:t>第五条</w:t>
      </w:r>
      <w:r>
        <w:rPr>
          <w:rFonts w:hint="eastAsia" w:ascii="仿宋" w:hAnsi="仿宋" w:eastAsia="仿宋" w:cs="仿宋"/>
          <w:sz w:val="32"/>
          <w:szCs w:val="32"/>
          <w:lang w:eastAsia="zh-CN"/>
        </w:rPr>
        <w:t>　</w:t>
      </w:r>
      <w:r>
        <w:rPr>
          <w:rFonts w:hint="eastAsia" w:ascii="仿宋" w:hAnsi="仿宋" w:eastAsia="仿宋" w:cs="仿宋"/>
          <w:sz w:val="32"/>
          <w:szCs w:val="32"/>
        </w:rPr>
        <w:t>省、设区的市、县（市）住房城乡建设主管部门负责本行政区域内建设工程造价活动的监督管理工作，其所属的建设工程造价机构按照国家和省有关规定，承担建设工程造价的具体工作。</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发展改革、财政、审计等部门按照各自职责，负责相关的建设工程造价监督管理工作。</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黑体" w:hAnsi="黑体" w:eastAsia="黑体" w:cs="黑体"/>
          <w:sz w:val="32"/>
          <w:szCs w:val="32"/>
        </w:rPr>
        <w:t>第六条</w:t>
      </w:r>
      <w:r>
        <w:rPr>
          <w:rFonts w:hint="eastAsia" w:ascii="黑体" w:hAnsi="黑体" w:eastAsia="黑体" w:cs="黑体"/>
          <w:sz w:val="32"/>
          <w:szCs w:val="32"/>
          <w:lang w:eastAsia="zh-CN"/>
        </w:rPr>
        <w:t>　</w:t>
      </w:r>
      <w:r>
        <w:rPr>
          <w:rFonts w:hint="eastAsia" w:ascii="仿宋" w:hAnsi="仿宋" w:eastAsia="仿宋" w:cs="仿宋"/>
          <w:sz w:val="32"/>
          <w:szCs w:val="32"/>
        </w:rPr>
        <w:t>建设工程造价行业协会应当建立健全自律机制，发挥行业指导、服务和协调作用。</w:t>
      </w:r>
    </w:p>
    <w:p>
      <w:pPr>
        <w:spacing w:line="360" w:lineRule="auto"/>
        <w:rPr>
          <w:rFonts w:hint="eastAsia" w:ascii="仿宋" w:hAnsi="仿宋" w:eastAsia="仿宋" w:cs="仿宋"/>
          <w:sz w:val="32"/>
          <w:szCs w:val="32"/>
        </w:rPr>
      </w:pPr>
    </w:p>
    <w:p>
      <w:pPr>
        <w:spacing w:line="360" w:lineRule="auto"/>
        <w:jc w:val="center"/>
        <w:rPr>
          <w:rFonts w:hint="eastAsia" w:ascii="仿宋" w:hAnsi="仿宋" w:eastAsia="仿宋" w:cs="仿宋"/>
          <w:sz w:val="32"/>
          <w:szCs w:val="32"/>
        </w:rPr>
      </w:pPr>
      <w:r>
        <w:rPr>
          <w:rFonts w:hint="eastAsia" w:ascii="黑体" w:hAnsi="黑体" w:eastAsia="黑体" w:cs="黑体"/>
          <w:sz w:val="32"/>
          <w:szCs w:val="32"/>
        </w:rPr>
        <w:t>第二章</w:t>
      </w:r>
      <w:r>
        <w:rPr>
          <w:rFonts w:hint="eastAsia" w:ascii="黑体" w:hAnsi="黑体" w:eastAsia="黑体" w:cs="黑体"/>
          <w:sz w:val="32"/>
          <w:szCs w:val="32"/>
          <w:lang w:eastAsia="zh-CN"/>
        </w:rPr>
        <w:t>　</w:t>
      </w:r>
      <w:r>
        <w:rPr>
          <w:rFonts w:hint="eastAsia" w:ascii="黑体" w:hAnsi="黑体" w:eastAsia="黑体" w:cs="黑体"/>
          <w:sz w:val="32"/>
          <w:szCs w:val="32"/>
        </w:rPr>
        <w:t>造价计价依据</w:t>
      </w:r>
    </w:p>
    <w:p>
      <w:pPr>
        <w:spacing w:line="360" w:lineRule="auto"/>
        <w:rPr>
          <w:rFonts w:hint="eastAsia" w:ascii="仿宋" w:hAnsi="仿宋" w:eastAsia="仿宋" w:cs="仿宋"/>
          <w:sz w:val="32"/>
          <w:szCs w:val="32"/>
        </w:rPr>
      </w:pP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黑体" w:hAnsi="黑体" w:eastAsia="黑体" w:cs="黑体"/>
          <w:sz w:val="32"/>
          <w:szCs w:val="32"/>
        </w:rPr>
        <w:t>第七条</w:t>
      </w:r>
      <w:r>
        <w:rPr>
          <w:rFonts w:hint="eastAsia" w:ascii="仿宋" w:hAnsi="仿宋" w:eastAsia="仿宋" w:cs="仿宋"/>
          <w:sz w:val="32"/>
          <w:szCs w:val="32"/>
          <w:lang w:eastAsia="zh-CN"/>
        </w:rPr>
        <w:t>　</w:t>
      </w:r>
      <w:r>
        <w:rPr>
          <w:rFonts w:hint="eastAsia" w:ascii="仿宋" w:hAnsi="仿宋" w:eastAsia="仿宋" w:cs="仿宋"/>
          <w:sz w:val="32"/>
          <w:szCs w:val="32"/>
        </w:rPr>
        <w:t>建设工程造价计价依据是指用来合理确定和有效控制建设工程造价的技术资料，包括下列内容：</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（一）工程量清单计量计价规则；</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（二）概算定额、消耗量定额、费用组成及其计算规则、工期定额、劳动定额、施工机械台班费用计算规则；</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（三）工程造价指标、指数；</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（四）人工、材料、设备、机械台班等要素市场价格信息；</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（五）国家和省规定的其他计价依据。</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建设工程造价计价依据分为统一计价依据、行业计价依据和一次性补充计价依据。</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黑体" w:hAnsi="黑体" w:eastAsia="黑体" w:cs="黑体"/>
          <w:sz w:val="32"/>
          <w:szCs w:val="32"/>
        </w:rPr>
        <w:t>第八条</w:t>
      </w:r>
      <w:r>
        <w:rPr>
          <w:rFonts w:hint="eastAsia" w:ascii="仿宋" w:hAnsi="仿宋" w:eastAsia="仿宋" w:cs="仿宋"/>
          <w:sz w:val="32"/>
          <w:szCs w:val="32"/>
          <w:lang w:eastAsia="zh-CN"/>
        </w:rPr>
        <w:t>　</w:t>
      </w:r>
      <w:r>
        <w:rPr>
          <w:rFonts w:hint="eastAsia" w:ascii="仿宋" w:hAnsi="仿宋" w:eastAsia="仿宋" w:cs="仿宋"/>
          <w:sz w:val="32"/>
          <w:szCs w:val="32"/>
        </w:rPr>
        <w:t>统一计价依据由省住房城乡建设主管部门组织编制并发布。投资估算、概算计价依据由省住房城乡建设主管部门会同省发展改革、财政等部门联合发布。</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统一计价依据适用于房屋建筑和市政建设工程。</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黑体" w:hAnsi="黑体" w:eastAsia="黑体" w:cs="黑体"/>
          <w:sz w:val="32"/>
          <w:szCs w:val="32"/>
        </w:rPr>
        <w:t>第九条</w:t>
      </w:r>
      <w:r>
        <w:rPr>
          <w:rFonts w:hint="eastAsia" w:ascii="仿宋" w:hAnsi="仿宋" w:eastAsia="仿宋" w:cs="仿宋"/>
          <w:sz w:val="32"/>
          <w:szCs w:val="32"/>
          <w:lang w:eastAsia="zh-CN"/>
        </w:rPr>
        <w:t>　</w:t>
      </w:r>
      <w:r>
        <w:rPr>
          <w:rFonts w:hint="eastAsia" w:ascii="仿宋" w:hAnsi="仿宋" w:eastAsia="仿宋" w:cs="仿宋"/>
          <w:sz w:val="32"/>
          <w:szCs w:val="32"/>
        </w:rPr>
        <w:t>行业计价依据由有关行业主管部门组织编制并发布。人工、材料、设备和施工机械台班工程价格及有关费用的组成，应当符合统一计价依据的技术要求。</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行业计价依据适用于交通运输、水利等专业建设工程。</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黑体" w:hAnsi="黑体" w:eastAsia="黑体" w:cs="黑体"/>
          <w:sz w:val="32"/>
          <w:szCs w:val="32"/>
        </w:rPr>
        <w:t>第十条</w:t>
      </w:r>
      <w:r>
        <w:rPr>
          <w:rFonts w:hint="eastAsia" w:ascii="仿宋" w:hAnsi="仿宋" w:eastAsia="仿宋" w:cs="仿宋"/>
          <w:sz w:val="32"/>
          <w:szCs w:val="32"/>
          <w:lang w:eastAsia="zh-CN"/>
        </w:rPr>
        <w:t>　</w:t>
      </w:r>
      <w:r>
        <w:rPr>
          <w:rFonts w:hint="eastAsia" w:ascii="仿宋" w:hAnsi="仿宋" w:eastAsia="仿宋" w:cs="仿宋"/>
          <w:sz w:val="32"/>
          <w:szCs w:val="32"/>
        </w:rPr>
        <w:t>一次性补充计价依据由工程所在地设区的市住房城乡建设主管部门组织编制并发布，并报省住房城乡建设主管部门备案。</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一次性补充计价依据适用于特殊条件下需要补充编制计价依据的建设工程。</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黑体" w:hAnsi="黑体" w:eastAsia="黑体" w:cs="黑体"/>
          <w:sz w:val="32"/>
          <w:szCs w:val="32"/>
        </w:rPr>
        <w:t>第十一条</w:t>
      </w:r>
      <w:r>
        <w:rPr>
          <w:rFonts w:hint="eastAsia" w:ascii="仿宋" w:hAnsi="仿宋" w:eastAsia="仿宋" w:cs="仿宋"/>
          <w:sz w:val="32"/>
          <w:szCs w:val="32"/>
          <w:lang w:eastAsia="zh-CN"/>
        </w:rPr>
        <w:t>　</w:t>
      </w:r>
      <w:r>
        <w:rPr>
          <w:rFonts w:hint="eastAsia" w:ascii="仿宋" w:hAnsi="仿宋" w:eastAsia="仿宋" w:cs="仿宋"/>
          <w:sz w:val="32"/>
          <w:szCs w:val="32"/>
        </w:rPr>
        <w:t>建设工程造价计价依据，应当根据法律法规、规定和工程建设标准进行编制，并与经济社会和工程技术发展水平以及市场状况相适应。</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编制建设工程造价计价依据，应当公开征求意见，并组织专家进行评审。</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黑体" w:hAnsi="黑体" w:eastAsia="黑体" w:cs="黑体"/>
          <w:sz w:val="32"/>
          <w:szCs w:val="32"/>
        </w:rPr>
        <w:t>第十二条</w:t>
      </w:r>
      <w:r>
        <w:rPr>
          <w:rFonts w:hint="eastAsia" w:ascii="仿宋" w:hAnsi="仿宋" w:eastAsia="仿宋" w:cs="仿宋"/>
          <w:sz w:val="32"/>
          <w:szCs w:val="32"/>
          <w:lang w:eastAsia="zh-CN"/>
        </w:rPr>
        <w:t>　</w:t>
      </w:r>
      <w:r>
        <w:rPr>
          <w:rFonts w:hint="eastAsia" w:ascii="仿宋" w:hAnsi="仿宋" w:eastAsia="仿宋" w:cs="仿宋"/>
          <w:sz w:val="32"/>
          <w:szCs w:val="32"/>
        </w:rPr>
        <w:t>从事工程建设活动的企业可以根据本企业技术和管理状况，按照国家和省有关规定编制企业定额，用于企业内部计价、成本核算等活动。</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黑体" w:hAnsi="黑体" w:eastAsia="黑体" w:cs="黑体"/>
          <w:sz w:val="32"/>
          <w:szCs w:val="32"/>
        </w:rPr>
        <w:t>第十三条</w:t>
      </w:r>
      <w:r>
        <w:rPr>
          <w:rFonts w:hint="eastAsia" w:ascii="黑体" w:hAnsi="黑体" w:eastAsia="黑体" w:cs="黑体"/>
          <w:sz w:val="32"/>
          <w:szCs w:val="32"/>
          <w:lang w:eastAsia="zh-CN"/>
        </w:rPr>
        <w:t>　</w:t>
      </w:r>
      <w:r>
        <w:rPr>
          <w:rFonts w:hint="eastAsia" w:ascii="仿宋" w:hAnsi="仿宋" w:eastAsia="仿宋" w:cs="仿宋"/>
          <w:sz w:val="32"/>
          <w:szCs w:val="32"/>
        </w:rPr>
        <w:t>鼓励开发和应用建设工程造价计价计算机软件。</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工程造价计价计算机软件应当应用国家和省工程造价数据交换的相关标准，保障基础数据、计算过程、输出格式的准确规范。</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黑体" w:hAnsi="黑体" w:eastAsia="黑体" w:cs="黑体"/>
          <w:sz w:val="32"/>
          <w:szCs w:val="32"/>
        </w:rPr>
        <w:t>第十四条</w:t>
      </w:r>
      <w:r>
        <w:rPr>
          <w:rFonts w:hint="eastAsia" w:ascii="仿宋" w:hAnsi="仿宋" w:eastAsia="仿宋" w:cs="仿宋"/>
          <w:sz w:val="32"/>
          <w:szCs w:val="32"/>
          <w:lang w:eastAsia="zh-CN"/>
        </w:rPr>
        <w:t>　</w:t>
      </w:r>
      <w:r>
        <w:rPr>
          <w:rFonts w:hint="eastAsia" w:ascii="仿宋" w:hAnsi="仿宋" w:eastAsia="仿宋" w:cs="仿宋"/>
          <w:sz w:val="32"/>
          <w:szCs w:val="32"/>
        </w:rPr>
        <w:t>住房城乡建设主管部门应当及时采集分析人工、材料、设备、施工机械台班工程价格和工程造价指标指数、价格变化趋势等信息，并定期向社会发布。</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省、设区的市住房城乡建设主管部门应当建立建设工程造价信息数据库，提高建设工程造价管理信息化水平。</w:t>
      </w:r>
    </w:p>
    <w:p>
      <w:pPr>
        <w:spacing w:line="360" w:lineRule="auto"/>
        <w:rPr>
          <w:rFonts w:hint="eastAsia" w:ascii="仿宋" w:hAnsi="仿宋" w:eastAsia="仿宋" w:cs="仿宋"/>
          <w:sz w:val="32"/>
          <w:szCs w:val="32"/>
        </w:rPr>
      </w:pPr>
    </w:p>
    <w:p>
      <w:pPr>
        <w:spacing w:line="360" w:lineRule="auto"/>
        <w:jc w:val="center"/>
        <w:rPr>
          <w:rFonts w:hint="eastAsia" w:ascii="仿宋" w:hAnsi="仿宋" w:eastAsia="仿宋" w:cs="仿宋"/>
          <w:sz w:val="32"/>
          <w:szCs w:val="32"/>
        </w:rPr>
      </w:pPr>
      <w:r>
        <w:rPr>
          <w:rFonts w:hint="eastAsia" w:ascii="黑体" w:hAnsi="黑体" w:eastAsia="黑体" w:cs="黑体"/>
          <w:sz w:val="32"/>
          <w:szCs w:val="32"/>
        </w:rPr>
        <w:t>第三章</w:t>
      </w:r>
      <w:r>
        <w:rPr>
          <w:rFonts w:hint="eastAsia" w:ascii="黑体" w:hAnsi="黑体" w:eastAsia="黑体" w:cs="黑体"/>
          <w:sz w:val="32"/>
          <w:szCs w:val="32"/>
          <w:lang w:eastAsia="zh-CN"/>
        </w:rPr>
        <w:t>　</w:t>
      </w:r>
      <w:r>
        <w:rPr>
          <w:rFonts w:hint="eastAsia" w:ascii="黑体" w:hAnsi="黑体" w:eastAsia="黑体" w:cs="黑体"/>
          <w:sz w:val="32"/>
          <w:szCs w:val="32"/>
        </w:rPr>
        <w:t>造价计价确定</w:t>
      </w:r>
    </w:p>
    <w:p>
      <w:pPr>
        <w:spacing w:line="360" w:lineRule="auto"/>
        <w:rPr>
          <w:rFonts w:hint="eastAsia" w:ascii="仿宋" w:hAnsi="仿宋" w:eastAsia="仿宋" w:cs="仿宋"/>
          <w:sz w:val="32"/>
          <w:szCs w:val="32"/>
        </w:rPr>
      </w:pP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黑体" w:hAnsi="黑体" w:eastAsia="黑体" w:cs="黑体"/>
          <w:sz w:val="32"/>
          <w:szCs w:val="32"/>
        </w:rPr>
        <w:t>第十五条</w:t>
      </w:r>
      <w:r>
        <w:rPr>
          <w:rFonts w:hint="eastAsia" w:ascii="仿宋" w:hAnsi="仿宋" w:eastAsia="仿宋" w:cs="仿宋"/>
          <w:sz w:val="32"/>
          <w:szCs w:val="32"/>
          <w:lang w:eastAsia="zh-CN"/>
        </w:rPr>
        <w:t>　</w:t>
      </w:r>
      <w:r>
        <w:rPr>
          <w:rFonts w:hint="eastAsia" w:ascii="仿宋" w:hAnsi="仿宋" w:eastAsia="仿宋" w:cs="仿宋"/>
          <w:sz w:val="32"/>
          <w:szCs w:val="32"/>
        </w:rPr>
        <w:t>建设工程造价计价活动包括下列事项：</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（一）编制投资估算、设计概算；</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（二）编制工程量清单、最高投标限价、招标标底、投标报价；</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（三）约定和调整工程合同价款；</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（四）办理施工过程结算和竣工结算；</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（五）其他建设工程造价计价活动。</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黑体" w:hAnsi="黑体" w:eastAsia="黑体" w:cs="黑体"/>
          <w:sz w:val="32"/>
          <w:szCs w:val="32"/>
        </w:rPr>
        <w:t>第十六条</w:t>
      </w:r>
      <w:r>
        <w:rPr>
          <w:rFonts w:hint="eastAsia" w:ascii="黑体" w:hAnsi="黑体" w:eastAsia="黑体" w:cs="黑体"/>
          <w:sz w:val="32"/>
          <w:szCs w:val="32"/>
          <w:lang w:eastAsia="zh-CN"/>
        </w:rPr>
        <w:t>　</w:t>
      </w:r>
      <w:r>
        <w:rPr>
          <w:rFonts w:hint="eastAsia" w:ascii="仿宋" w:hAnsi="仿宋" w:eastAsia="仿宋" w:cs="仿宋"/>
          <w:sz w:val="32"/>
          <w:szCs w:val="32"/>
        </w:rPr>
        <w:t>建设工程设计概算应当在投资估算的控制下，按照概算编制原则和工程计价依据进行编制。经批准的投资估算、设计概算是控制工程造价的主要依据，未经项目审批部门批准，不得突破。</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黑体" w:hAnsi="黑体" w:eastAsia="黑体" w:cs="黑体"/>
          <w:sz w:val="32"/>
          <w:szCs w:val="32"/>
        </w:rPr>
        <w:t>第十七条</w:t>
      </w:r>
      <w:r>
        <w:rPr>
          <w:rFonts w:hint="eastAsia" w:ascii="仿宋" w:hAnsi="仿宋" w:eastAsia="仿宋" w:cs="仿宋"/>
          <w:sz w:val="32"/>
          <w:szCs w:val="32"/>
          <w:lang w:eastAsia="zh-CN"/>
        </w:rPr>
        <w:t>　</w:t>
      </w:r>
      <w:r>
        <w:rPr>
          <w:rFonts w:hint="eastAsia" w:ascii="仿宋" w:hAnsi="仿宋" w:eastAsia="仿宋" w:cs="仿宋"/>
          <w:sz w:val="32"/>
          <w:szCs w:val="32"/>
        </w:rPr>
        <w:t>建设工程造价应当与质量、安全、环保、工期等要求相协调，体现市场在价格形成中的决定性作用。</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建设工程造价计价应当按照工程项目建设不同阶段分别编制投资估算、设计概算、最高投标限价或者招标标底、投标报价、工程结算等建设工程造价计价文件。</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建设工程造价计价文件，应当按照建设项目的工程条件、设计文件、工程计价依据及有关资料，并考虑编制期至建设期的市场价格、利率、汇率变化等因素进行编制。</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黑体" w:hAnsi="黑体" w:eastAsia="黑体" w:cs="黑体"/>
          <w:sz w:val="32"/>
          <w:szCs w:val="32"/>
        </w:rPr>
        <w:t>第十八条</w:t>
      </w:r>
      <w:r>
        <w:rPr>
          <w:rFonts w:hint="eastAsia" w:ascii="黑体" w:hAnsi="黑体" w:eastAsia="黑体" w:cs="黑体"/>
          <w:sz w:val="32"/>
          <w:szCs w:val="32"/>
          <w:lang w:eastAsia="zh-CN"/>
        </w:rPr>
        <w:t>　</w:t>
      </w:r>
      <w:r>
        <w:rPr>
          <w:rFonts w:hint="eastAsia" w:ascii="仿宋" w:hAnsi="仿宋" w:eastAsia="仿宋" w:cs="仿宋"/>
          <w:sz w:val="32"/>
          <w:szCs w:val="32"/>
        </w:rPr>
        <w:t>社会保险费、住房公积金、安全文明施工费等费用项目，应当按照国家和省有关规定计入工程造价。</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黑体" w:hAnsi="黑体" w:eastAsia="黑体" w:cs="黑体"/>
          <w:sz w:val="32"/>
          <w:szCs w:val="32"/>
        </w:rPr>
        <w:t>第</w:t>
      </w:r>
      <w:r>
        <w:rPr>
          <w:rFonts w:hint="eastAsia" w:ascii="黑体" w:hAnsi="黑体" w:eastAsia="黑体" w:cs="黑体"/>
          <w:sz w:val="32"/>
          <w:szCs w:val="32"/>
          <w:lang w:eastAsia="zh-CN"/>
        </w:rPr>
        <w:t>十九</w:t>
      </w:r>
      <w:r>
        <w:rPr>
          <w:rFonts w:hint="eastAsia" w:ascii="黑体" w:hAnsi="黑体" w:eastAsia="黑体" w:cs="黑体"/>
          <w:sz w:val="32"/>
          <w:szCs w:val="32"/>
        </w:rPr>
        <w:t>条</w:t>
      </w:r>
      <w:r>
        <w:rPr>
          <w:rFonts w:hint="eastAsia" w:ascii="黑体" w:hAnsi="黑体" w:eastAsia="黑体" w:cs="黑体"/>
          <w:sz w:val="32"/>
          <w:szCs w:val="32"/>
          <w:lang w:eastAsia="zh-CN"/>
        </w:rPr>
        <w:t>　</w:t>
      </w:r>
      <w:r>
        <w:rPr>
          <w:rFonts w:hint="eastAsia" w:ascii="仿宋" w:hAnsi="仿宋" w:eastAsia="仿宋" w:cs="仿宋"/>
          <w:sz w:val="32"/>
          <w:szCs w:val="32"/>
        </w:rPr>
        <w:t>全部使用国有资金或者国有资金投资为主的工程以及公开招标的工程，实行施工总承包模式的应当采用工程量清单计价，实行工程总承包模式的应当按照国家和省有关规定计价。</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实行工程量清单计价的工程，应当按照国家和省有关规定设立最高投标限价。最高投标限价应当与招标文件同时公布。</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黑体" w:hAnsi="黑体" w:eastAsia="黑体" w:cs="黑体"/>
          <w:sz w:val="32"/>
          <w:szCs w:val="32"/>
        </w:rPr>
        <w:t>第二十条</w:t>
      </w:r>
      <w:r>
        <w:rPr>
          <w:rFonts w:hint="eastAsia" w:ascii="黑体" w:hAnsi="黑体" w:eastAsia="黑体" w:cs="黑体"/>
          <w:sz w:val="32"/>
          <w:szCs w:val="32"/>
          <w:lang w:eastAsia="zh-CN"/>
        </w:rPr>
        <w:t>　</w:t>
      </w:r>
      <w:r>
        <w:rPr>
          <w:rFonts w:hint="eastAsia" w:ascii="仿宋" w:hAnsi="仿宋" w:eastAsia="仿宋" w:cs="仿宋"/>
          <w:sz w:val="32"/>
          <w:szCs w:val="32"/>
        </w:rPr>
        <w:t>依法进行招标的工程，其合同价应当依据招标文件、中标人的投标文件在合同中约定。合同价款约定不得违背招标、投标文件中关于工程造价方面的实质性内容。</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不进行招标的工程，其合同价由发包人和承包人按照工程造价计价依据及相关规定进行约定。</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黑体" w:hAnsi="黑体" w:eastAsia="黑体" w:cs="黑体"/>
          <w:sz w:val="32"/>
          <w:szCs w:val="32"/>
        </w:rPr>
        <w:t>第二十</w:t>
      </w:r>
      <w:r>
        <w:rPr>
          <w:rFonts w:hint="eastAsia" w:ascii="黑体" w:hAnsi="黑体" w:eastAsia="黑体" w:cs="黑体"/>
          <w:sz w:val="32"/>
          <w:szCs w:val="32"/>
          <w:lang w:eastAsia="zh-CN"/>
        </w:rPr>
        <w:t>一</w:t>
      </w:r>
      <w:r>
        <w:rPr>
          <w:rFonts w:hint="eastAsia" w:ascii="黑体" w:hAnsi="黑体" w:eastAsia="黑体" w:cs="黑体"/>
          <w:sz w:val="32"/>
          <w:szCs w:val="32"/>
        </w:rPr>
        <w:t>条</w:t>
      </w:r>
      <w:r>
        <w:rPr>
          <w:rFonts w:hint="eastAsia" w:ascii="仿宋" w:hAnsi="仿宋" w:eastAsia="仿宋" w:cs="仿宋"/>
          <w:sz w:val="32"/>
          <w:szCs w:val="32"/>
          <w:lang w:eastAsia="zh-CN"/>
        </w:rPr>
        <w:t>　</w:t>
      </w:r>
      <w:r>
        <w:rPr>
          <w:rFonts w:hint="eastAsia" w:ascii="仿宋" w:hAnsi="仿宋" w:eastAsia="仿宋" w:cs="仿宋"/>
          <w:sz w:val="32"/>
          <w:szCs w:val="32"/>
        </w:rPr>
        <w:t>建设工程发包承包双方签订的合同是工程结算和审核的依据。任何单位和个人不得违反合同约定进行工程结算文件的编制和审核。</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建设工程发包承包双方不得就同一建设工程，在合同之外另行订立背离合同实质性内容的其他协议。</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黑体" w:hAnsi="黑体" w:eastAsia="黑体" w:cs="黑体"/>
          <w:sz w:val="32"/>
          <w:szCs w:val="32"/>
        </w:rPr>
        <w:t>第二十</w:t>
      </w:r>
      <w:r>
        <w:rPr>
          <w:rFonts w:hint="eastAsia" w:ascii="黑体" w:hAnsi="黑体" w:eastAsia="黑体" w:cs="黑体"/>
          <w:sz w:val="32"/>
          <w:szCs w:val="32"/>
          <w:lang w:eastAsia="zh-CN"/>
        </w:rPr>
        <w:t>二</w:t>
      </w:r>
      <w:r>
        <w:rPr>
          <w:rFonts w:hint="eastAsia" w:ascii="黑体" w:hAnsi="黑体" w:eastAsia="黑体" w:cs="黑体"/>
          <w:sz w:val="32"/>
          <w:szCs w:val="32"/>
        </w:rPr>
        <w:t>条</w:t>
      </w:r>
      <w:r>
        <w:rPr>
          <w:rFonts w:hint="eastAsia" w:ascii="黑体" w:hAnsi="黑体" w:eastAsia="黑体" w:cs="黑体"/>
          <w:sz w:val="32"/>
          <w:szCs w:val="32"/>
          <w:lang w:eastAsia="zh-CN"/>
        </w:rPr>
        <w:t>　</w:t>
      </w:r>
      <w:r>
        <w:rPr>
          <w:rFonts w:hint="eastAsia" w:ascii="仿宋" w:hAnsi="仿宋" w:eastAsia="仿宋" w:cs="仿宋"/>
          <w:sz w:val="32"/>
          <w:szCs w:val="32"/>
        </w:rPr>
        <w:t>建设工程发包承包双方应当在合同中对下列工程造价计价事项进行约定：</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（一）计价依据和方式；</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（二）工程材料、设备的供应方式、价款确定和结算方式；</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（三）工程项目、工程量的认定和工程价款调整的时限、方式；</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（四）工程价格、费用变化等风险的承担范围和方式；</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（五）索赔事项和现场签证的确认方式、计价与价款的支付；</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（六）提高工程质量标准所增加工程费用的计算方法；</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（七）施工过程结算的节点划分方式，施工过程结算和竣工结算审核的方式和时限，工程预付款、工程进度款、工程结算价款的拨付数额、时限、方式；</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（八）工程质量保证金的数额、预扣方式和支付时限；</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（九）工程计价争议的解决方式；</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（十）需要约定的其他工程造价计价事项。</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黑体" w:hAnsi="黑体" w:eastAsia="黑体" w:cs="黑体"/>
          <w:sz w:val="32"/>
          <w:szCs w:val="32"/>
        </w:rPr>
        <w:t>第二十</w:t>
      </w:r>
      <w:r>
        <w:rPr>
          <w:rFonts w:hint="eastAsia" w:ascii="黑体" w:hAnsi="黑体" w:eastAsia="黑体" w:cs="黑体"/>
          <w:sz w:val="32"/>
          <w:szCs w:val="32"/>
          <w:lang w:eastAsia="zh-CN"/>
        </w:rPr>
        <w:t>三</w:t>
      </w:r>
      <w:r>
        <w:rPr>
          <w:rFonts w:hint="eastAsia" w:ascii="黑体" w:hAnsi="黑体" w:eastAsia="黑体" w:cs="黑体"/>
          <w:sz w:val="32"/>
          <w:szCs w:val="32"/>
        </w:rPr>
        <w:t>条</w:t>
      </w:r>
      <w:r>
        <w:rPr>
          <w:rFonts w:hint="eastAsia" w:ascii="黑体" w:hAnsi="黑体" w:eastAsia="黑体" w:cs="黑体"/>
          <w:sz w:val="32"/>
          <w:szCs w:val="32"/>
          <w:lang w:eastAsia="zh-CN"/>
        </w:rPr>
        <w:t>　</w:t>
      </w:r>
      <w:r>
        <w:rPr>
          <w:rFonts w:hint="eastAsia" w:ascii="仿宋" w:hAnsi="仿宋" w:eastAsia="仿宋" w:cs="仿宋"/>
          <w:sz w:val="32"/>
          <w:szCs w:val="32"/>
        </w:rPr>
        <w:t>工程发包承包双方应当在建设工程竣工验收后，按照合同约定及时办理工程竣工结算。</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建设单位委托工程造价咨询企业审核工程结算的，工程结算文件经当事人签字确认后，不得再次委托审核。但是，有证据表明结算文件确有错误的除外。</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黑体" w:hAnsi="黑体" w:eastAsia="黑体" w:cs="黑体"/>
          <w:sz w:val="32"/>
          <w:szCs w:val="32"/>
        </w:rPr>
        <w:t>第二十</w:t>
      </w:r>
      <w:r>
        <w:rPr>
          <w:rFonts w:hint="eastAsia" w:ascii="黑体" w:hAnsi="黑体" w:eastAsia="黑体" w:cs="黑体"/>
          <w:sz w:val="32"/>
          <w:szCs w:val="32"/>
          <w:lang w:eastAsia="zh-CN"/>
        </w:rPr>
        <w:t>四</w:t>
      </w:r>
      <w:r>
        <w:rPr>
          <w:rFonts w:hint="eastAsia" w:ascii="黑体" w:hAnsi="黑体" w:eastAsia="黑体" w:cs="黑体"/>
          <w:sz w:val="32"/>
          <w:szCs w:val="32"/>
        </w:rPr>
        <w:t>条</w:t>
      </w:r>
      <w:r>
        <w:rPr>
          <w:rFonts w:hint="eastAsia" w:ascii="仿宋" w:hAnsi="仿宋" w:eastAsia="仿宋" w:cs="仿宋"/>
          <w:sz w:val="32"/>
          <w:szCs w:val="32"/>
          <w:lang w:eastAsia="zh-CN"/>
        </w:rPr>
        <w:t>　</w:t>
      </w:r>
      <w:r>
        <w:rPr>
          <w:rFonts w:hint="eastAsia" w:ascii="仿宋" w:hAnsi="仿宋" w:eastAsia="仿宋" w:cs="仿宋"/>
          <w:sz w:val="32"/>
          <w:szCs w:val="32"/>
        </w:rPr>
        <w:t>工程发包承包双方应当按照国家和省有关规定实行施工过程结算。采用施工过程结算的工程，发包承包双方应当按照合同约定，以时间节点或者进度节点对施工周期内已完成工程量进行价款计算、确认，并按照合同约定比例支付。</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经发包承包双方确认的施工过程结算文件应当作为竣工结算文件的组成部分，工程竣工后不再重复审核。但是，有证据表明结算文件确有错误的除外。</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黑体" w:hAnsi="黑体" w:eastAsia="黑体" w:cs="黑体"/>
          <w:sz w:val="32"/>
          <w:szCs w:val="32"/>
        </w:rPr>
        <w:t>第二十</w:t>
      </w:r>
      <w:r>
        <w:rPr>
          <w:rFonts w:hint="eastAsia" w:ascii="黑体" w:hAnsi="黑体" w:eastAsia="黑体" w:cs="黑体"/>
          <w:sz w:val="32"/>
          <w:szCs w:val="32"/>
          <w:lang w:eastAsia="zh-CN"/>
        </w:rPr>
        <w:t>五</w:t>
      </w:r>
      <w:r>
        <w:rPr>
          <w:rFonts w:hint="eastAsia" w:ascii="黑体" w:hAnsi="黑体" w:eastAsia="黑体" w:cs="黑体"/>
          <w:sz w:val="32"/>
          <w:szCs w:val="32"/>
        </w:rPr>
        <w:t>条</w:t>
      </w:r>
      <w:r>
        <w:rPr>
          <w:rFonts w:hint="eastAsia" w:ascii="黑体" w:hAnsi="黑体" w:eastAsia="黑体" w:cs="黑体"/>
          <w:sz w:val="32"/>
          <w:szCs w:val="32"/>
          <w:lang w:eastAsia="zh-CN"/>
        </w:rPr>
        <w:t>　</w:t>
      </w:r>
      <w:r>
        <w:rPr>
          <w:rFonts w:hint="eastAsia" w:ascii="仿宋" w:hAnsi="仿宋" w:eastAsia="仿宋" w:cs="仿宋"/>
          <w:sz w:val="32"/>
          <w:szCs w:val="32"/>
        </w:rPr>
        <w:t>建设项目竣工决算，应当由建设单位按照国家和省有关财务决算的规定编制。</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政府投资或者以政府投资为主的建设项目以及关系国家利益和公共利益的其他重大公共工程建设项目，应当依法接受审计监督。</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黑体" w:hAnsi="黑体" w:eastAsia="黑体" w:cs="黑体"/>
          <w:sz w:val="32"/>
          <w:szCs w:val="32"/>
        </w:rPr>
        <w:t>第二十</w:t>
      </w:r>
      <w:r>
        <w:rPr>
          <w:rFonts w:hint="eastAsia" w:ascii="黑体" w:hAnsi="黑体" w:eastAsia="黑体" w:cs="黑体"/>
          <w:sz w:val="32"/>
          <w:szCs w:val="32"/>
          <w:lang w:eastAsia="zh-CN"/>
        </w:rPr>
        <w:t>六</w:t>
      </w:r>
      <w:r>
        <w:rPr>
          <w:rFonts w:hint="eastAsia" w:ascii="黑体" w:hAnsi="黑体" w:eastAsia="黑体" w:cs="黑体"/>
          <w:sz w:val="32"/>
          <w:szCs w:val="32"/>
        </w:rPr>
        <w:t>条</w:t>
      </w:r>
      <w:r>
        <w:rPr>
          <w:rFonts w:hint="eastAsia" w:ascii="黑体" w:hAnsi="黑体" w:eastAsia="黑体" w:cs="黑体"/>
          <w:sz w:val="32"/>
          <w:szCs w:val="32"/>
          <w:lang w:eastAsia="zh-CN"/>
        </w:rPr>
        <w:t>　</w:t>
      </w:r>
      <w:r>
        <w:rPr>
          <w:rFonts w:hint="eastAsia" w:ascii="仿宋" w:hAnsi="仿宋" w:eastAsia="仿宋" w:cs="仿宋"/>
          <w:sz w:val="32"/>
          <w:szCs w:val="32"/>
        </w:rPr>
        <w:t>在工程造价计价活动中，对工程造价计价依据以及相关规定有疑问的，由住房城乡建设主管部门和有关部门负责解释。</w:t>
      </w:r>
    </w:p>
    <w:p>
      <w:pPr>
        <w:spacing w:line="360" w:lineRule="auto"/>
        <w:rPr>
          <w:rFonts w:hint="eastAsia" w:ascii="仿宋" w:hAnsi="仿宋" w:eastAsia="仿宋" w:cs="仿宋"/>
          <w:sz w:val="32"/>
          <w:szCs w:val="32"/>
        </w:rPr>
      </w:pPr>
    </w:p>
    <w:p>
      <w:pPr>
        <w:spacing w:line="360" w:lineRule="auto"/>
        <w:jc w:val="center"/>
        <w:rPr>
          <w:rFonts w:hint="eastAsia" w:ascii="仿宋" w:hAnsi="仿宋" w:eastAsia="仿宋" w:cs="仿宋"/>
          <w:sz w:val="32"/>
          <w:szCs w:val="32"/>
        </w:rPr>
      </w:pPr>
      <w:r>
        <w:rPr>
          <w:rFonts w:hint="eastAsia" w:ascii="黑体" w:hAnsi="黑体" w:eastAsia="黑体" w:cs="黑体"/>
          <w:sz w:val="32"/>
          <w:szCs w:val="32"/>
        </w:rPr>
        <w:t>第四章</w:t>
      </w:r>
      <w:r>
        <w:rPr>
          <w:rFonts w:hint="eastAsia" w:ascii="黑体" w:hAnsi="黑体" w:eastAsia="黑体" w:cs="黑体"/>
          <w:sz w:val="32"/>
          <w:szCs w:val="32"/>
          <w:lang w:eastAsia="zh-CN"/>
        </w:rPr>
        <w:t>　</w:t>
      </w:r>
      <w:r>
        <w:rPr>
          <w:rFonts w:hint="eastAsia" w:ascii="黑体" w:hAnsi="黑体" w:eastAsia="黑体" w:cs="黑体"/>
          <w:sz w:val="32"/>
          <w:szCs w:val="32"/>
        </w:rPr>
        <w:t>从业管理</w:t>
      </w:r>
    </w:p>
    <w:p>
      <w:pPr>
        <w:spacing w:line="360" w:lineRule="auto"/>
        <w:rPr>
          <w:rFonts w:hint="eastAsia" w:ascii="仿宋" w:hAnsi="仿宋" w:eastAsia="仿宋" w:cs="仿宋"/>
          <w:sz w:val="32"/>
          <w:szCs w:val="32"/>
        </w:rPr>
      </w:pP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黑体" w:hAnsi="黑体" w:eastAsia="黑体" w:cs="黑体"/>
          <w:sz w:val="32"/>
          <w:szCs w:val="32"/>
        </w:rPr>
        <w:t>第二十</w:t>
      </w:r>
      <w:r>
        <w:rPr>
          <w:rFonts w:hint="eastAsia" w:ascii="黑体" w:hAnsi="黑体" w:eastAsia="黑体" w:cs="黑体"/>
          <w:sz w:val="32"/>
          <w:szCs w:val="32"/>
          <w:lang w:eastAsia="zh-CN"/>
        </w:rPr>
        <w:t>七</w:t>
      </w:r>
      <w:r>
        <w:rPr>
          <w:rFonts w:hint="eastAsia" w:ascii="黑体" w:hAnsi="黑体" w:eastAsia="黑体" w:cs="黑体"/>
          <w:sz w:val="32"/>
          <w:szCs w:val="32"/>
        </w:rPr>
        <w:t>条</w:t>
      </w:r>
      <w:r>
        <w:rPr>
          <w:rFonts w:hint="eastAsia" w:ascii="仿宋" w:hAnsi="仿宋" w:eastAsia="仿宋" w:cs="仿宋"/>
          <w:sz w:val="32"/>
          <w:szCs w:val="32"/>
          <w:lang w:eastAsia="zh-CN"/>
        </w:rPr>
        <w:t>　</w:t>
      </w:r>
      <w:r>
        <w:rPr>
          <w:rFonts w:hint="eastAsia" w:ascii="仿宋" w:hAnsi="仿宋" w:eastAsia="仿宋" w:cs="仿宋"/>
          <w:sz w:val="32"/>
          <w:szCs w:val="32"/>
        </w:rPr>
        <w:t>从事工程造价咨询活动的企业，应当具备与承接业务相匹配的能力和注册造价工程师。</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黑体" w:hAnsi="黑体" w:eastAsia="黑体" w:cs="黑体"/>
          <w:sz w:val="32"/>
          <w:szCs w:val="32"/>
        </w:rPr>
        <w:t>第二十</w:t>
      </w:r>
      <w:r>
        <w:rPr>
          <w:rFonts w:hint="eastAsia" w:ascii="黑体" w:hAnsi="黑体" w:eastAsia="黑体" w:cs="黑体"/>
          <w:sz w:val="32"/>
          <w:szCs w:val="32"/>
          <w:lang w:eastAsia="zh-CN"/>
        </w:rPr>
        <w:t>八</w:t>
      </w:r>
      <w:r>
        <w:rPr>
          <w:rFonts w:hint="eastAsia" w:ascii="黑体" w:hAnsi="黑体" w:eastAsia="黑体" w:cs="黑体"/>
          <w:sz w:val="32"/>
          <w:szCs w:val="32"/>
        </w:rPr>
        <w:t>条</w:t>
      </w:r>
      <w:r>
        <w:rPr>
          <w:rFonts w:hint="eastAsia" w:ascii="黑体" w:hAnsi="黑体" w:eastAsia="黑体" w:cs="黑体"/>
          <w:sz w:val="32"/>
          <w:szCs w:val="32"/>
          <w:lang w:eastAsia="zh-CN"/>
        </w:rPr>
        <w:t>　</w:t>
      </w:r>
      <w:r>
        <w:rPr>
          <w:rFonts w:hint="eastAsia" w:ascii="仿宋" w:hAnsi="仿宋" w:eastAsia="仿宋" w:cs="仿宋"/>
          <w:sz w:val="32"/>
          <w:szCs w:val="32"/>
        </w:rPr>
        <w:t>工程造价咨询企业承接工程造价咨询业务，应当与委托人订立工程造价咨询合同，并参照使用国家和省制定的合同示范文本。</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黑体" w:hAnsi="黑体" w:eastAsia="黑体" w:cs="黑体"/>
          <w:sz w:val="32"/>
          <w:szCs w:val="32"/>
        </w:rPr>
        <w:t>第</w:t>
      </w:r>
      <w:r>
        <w:rPr>
          <w:rFonts w:hint="eastAsia" w:ascii="黑体" w:hAnsi="黑体" w:eastAsia="黑体" w:cs="黑体"/>
          <w:sz w:val="32"/>
          <w:szCs w:val="32"/>
          <w:lang w:eastAsia="zh-CN"/>
        </w:rPr>
        <w:t>二十九</w:t>
      </w:r>
      <w:r>
        <w:rPr>
          <w:rFonts w:hint="eastAsia" w:ascii="黑体" w:hAnsi="黑体" w:eastAsia="黑体" w:cs="黑体"/>
          <w:sz w:val="32"/>
          <w:szCs w:val="32"/>
        </w:rPr>
        <w:t>条</w:t>
      </w:r>
      <w:r>
        <w:rPr>
          <w:rFonts w:hint="eastAsia" w:ascii="仿宋" w:hAnsi="仿宋" w:eastAsia="仿宋" w:cs="仿宋"/>
          <w:sz w:val="32"/>
          <w:szCs w:val="32"/>
          <w:lang w:eastAsia="zh-CN"/>
        </w:rPr>
        <w:t>　</w:t>
      </w:r>
      <w:r>
        <w:rPr>
          <w:rFonts w:hint="eastAsia" w:ascii="仿宋" w:hAnsi="仿宋" w:eastAsia="仿宋" w:cs="仿宋"/>
          <w:sz w:val="32"/>
          <w:szCs w:val="32"/>
        </w:rPr>
        <w:t>建设工程造价咨询服务费实行市场调节价，由工程造价咨询合同双方当事人平等协商确定。</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工程造价咨询合同双方当事人不得约定以审减额作为计取工程造价咨询服务费的主要依据。</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黑体" w:hAnsi="黑体" w:eastAsia="黑体" w:cs="黑体"/>
          <w:sz w:val="32"/>
          <w:szCs w:val="32"/>
        </w:rPr>
        <w:t>第三十条</w:t>
      </w:r>
      <w:r>
        <w:rPr>
          <w:rFonts w:hint="eastAsia" w:ascii="仿宋" w:hAnsi="仿宋" w:eastAsia="仿宋" w:cs="仿宋"/>
          <w:sz w:val="32"/>
          <w:szCs w:val="32"/>
          <w:lang w:eastAsia="zh-CN"/>
        </w:rPr>
        <w:t>　</w:t>
      </w:r>
      <w:r>
        <w:rPr>
          <w:rFonts w:hint="eastAsia" w:ascii="仿宋" w:hAnsi="仿宋" w:eastAsia="仿宋" w:cs="仿宋"/>
          <w:sz w:val="32"/>
          <w:szCs w:val="32"/>
        </w:rPr>
        <w:t>工程造价咨询企业应当建立健全工程造价咨询业务编审质量控制、技术档案和财务管理等制度。</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黑体" w:hAnsi="黑体" w:eastAsia="黑体" w:cs="黑体"/>
          <w:sz w:val="32"/>
          <w:szCs w:val="32"/>
        </w:rPr>
        <w:t>第三十</w:t>
      </w:r>
      <w:r>
        <w:rPr>
          <w:rFonts w:hint="eastAsia" w:ascii="黑体" w:hAnsi="黑体" w:eastAsia="黑体" w:cs="黑体"/>
          <w:sz w:val="32"/>
          <w:szCs w:val="32"/>
          <w:lang w:eastAsia="zh-CN"/>
        </w:rPr>
        <w:t>一</w:t>
      </w:r>
      <w:r>
        <w:rPr>
          <w:rFonts w:hint="eastAsia" w:ascii="黑体" w:hAnsi="黑体" w:eastAsia="黑体" w:cs="黑体"/>
          <w:sz w:val="32"/>
          <w:szCs w:val="32"/>
        </w:rPr>
        <w:t>条</w:t>
      </w:r>
      <w:r>
        <w:rPr>
          <w:rFonts w:hint="eastAsia" w:ascii="黑体" w:hAnsi="黑体" w:eastAsia="黑体" w:cs="黑体"/>
          <w:sz w:val="32"/>
          <w:szCs w:val="32"/>
          <w:lang w:eastAsia="zh-CN"/>
        </w:rPr>
        <w:t>　</w:t>
      </w:r>
      <w:r>
        <w:rPr>
          <w:rFonts w:hint="eastAsia" w:ascii="仿宋" w:hAnsi="仿宋" w:eastAsia="仿宋" w:cs="仿宋"/>
          <w:sz w:val="32"/>
          <w:szCs w:val="32"/>
        </w:rPr>
        <w:t>工程造价咨询企业不得有下列行为：</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（一）转包承接的工程造价咨询业务；</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（二）工程造价成果文件上使用非承担本项目人员的名义和印章；</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（三）同时接受招标人和投标人或者两个以上投标人对同一工程项目的工程造价咨询业务；</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（四）以给予回扣、恶意压低收费等方式进行不正当竞争；</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（五）出具虚假的建设工程造价咨询成果文件；</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（六）法律、法规和规章禁止的其他行为。</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黑体" w:hAnsi="黑体" w:eastAsia="黑体" w:cs="黑体"/>
          <w:sz w:val="32"/>
          <w:szCs w:val="32"/>
        </w:rPr>
        <w:t>第三十</w:t>
      </w:r>
      <w:r>
        <w:rPr>
          <w:rFonts w:hint="eastAsia" w:ascii="黑体" w:hAnsi="黑体" w:eastAsia="黑体" w:cs="黑体"/>
          <w:sz w:val="32"/>
          <w:szCs w:val="32"/>
          <w:lang w:eastAsia="zh-CN"/>
        </w:rPr>
        <w:t>二</w:t>
      </w:r>
      <w:r>
        <w:rPr>
          <w:rFonts w:hint="eastAsia" w:ascii="黑体" w:hAnsi="黑体" w:eastAsia="黑体" w:cs="黑体"/>
          <w:sz w:val="32"/>
          <w:szCs w:val="32"/>
        </w:rPr>
        <w:t>条</w:t>
      </w:r>
      <w:r>
        <w:rPr>
          <w:rFonts w:hint="eastAsia" w:ascii="黑体" w:hAnsi="黑体" w:eastAsia="黑体" w:cs="黑体"/>
          <w:sz w:val="32"/>
          <w:szCs w:val="32"/>
          <w:lang w:eastAsia="zh-CN"/>
        </w:rPr>
        <w:t>　</w:t>
      </w:r>
      <w:r>
        <w:rPr>
          <w:rFonts w:hint="eastAsia" w:ascii="仿宋" w:hAnsi="仿宋" w:eastAsia="仿宋" w:cs="仿宋"/>
          <w:sz w:val="32"/>
          <w:szCs w:val="32"/>
        </w:rPr>
        <w:t>建设工程造价计价文件编制和审核，应当依法由注册造价工程师完成。</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注册造价工程师应当在所承担编制、审核的建设工程造价成果文件上按照规定签字、并加盖执业印章。</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黑体" w:hAnsi="黑体" w:eastAsia="黑体" w:cs="黑体"/>
          <w:sz w:val="32"/>
          <w:szCs w:val="32"/>
        </w:rPr>
        <w:t>第三十</w:t>
      </w:r>
      <w:r>
        <w:rPr>
          <w:rFonts w:hint="eastAsia" w:ascii="黑体" w:hAnsi="黑体" w:eastAsia="黑体" w:cs="黑体"/>
          <w:sz w:val="32"/>
          <w:szCs w:val="32"/>
          <w:lang w:eastAsia="zh-CN"/>
        </w:rPr>
        <w:t>三</w:t>
      </w:r>
      <w:r>
        <w:rPr>
          <w:rFonts w:hint="eastAsia" w:ascii="黑体" w:hAnsi="黑体" w:eastAsia="黑体" w:cs="黑体"/>
          <w:sz w:val="32"/>
          <w:szCs w:val="32"/>
        </w:rPr>
        <w:t>条</w:t>
      </w:r>
      <w:r>
        <w:rPr>
          <w:rFonts w:hint="eastAsia" w:ascii="黑体" w:hAnsi="黑体" w:eastAsia="黑体" w:cs="黑体"/>
          <w:sz w:val="32"/>
          <w:szCs w:val="32"/>
          <w:lang w:eastAsia="zh-CN"/>
        </w:rPr>
        <w:t>　</w:t>
      </w:r>
      <w:r>
        <w:rPr>
          <w:rFonts w:hint="eastAsia" w:ascii="仿宋" w:hAnsi="仿宋" w:eastAsia="仿宋" w:cs="仿宋"/>
          <w:sz w:val="32"/>
          <w:szCs w:val="32"/>
        </w:rPr>
        <w:t>注册造价工程师在执业过程中不得有下列行为：</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（一）不履行注册造价工程师义务；</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（二）索贿、受贿或者谋取合同约定费用外的其他利益；</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（三）实施商业贿赂；</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（四）签署有虚假记载、误导性陈述的工程造价成果文件；</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（五）以个人名义承接工程造价业务；</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（六）允许他人以自己名义从事工程造价业务；</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（七）同时在两个或者两个以上单位执业；</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（八）涂改、倒卖、出租、出借或者以其他形式非法转让注册证书或者执业印章；</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（九）法律、法规、规章禁止的其他行为。</w:t>
      </w:r>
    </w:p>
    <w:p>
      <w:pPr>
        <w:spacing w:line="360" w:lineRule="auto"/>
        <w:rPr>
          <w:rFonts w:hint="eastAsia" w:ascii="仿宋" w:hAnsi="仿宋" w:eastAsia="仿宋" w:cs="仿宋"/>
          <w:sz w:val="32"/>
          <w:szCs w:val="32"/>
        </w:rPr>
      </w:pPr>
    </w:p>
    <w:p>
      <w:pPr>
        <w:spacing w:line="360" w:lineRule="auto"/>
        <w:jc w:val="center"/>
        <w:rPr>
          <w:rFonts w:hint="eastAsia" w:ascii="仿宋" w:hAnsi="仿宋" w:eastAsia="仿宋" w:cs="仿宋"/>
          <w:sz w:val="32"/>
          <w:szCs w:val="32"/>
        </w:rPr>
      </w:pPr>
      <w:r>
        <w:rPr>
          <w:rFonts w:hint="eastAsia" w:ascii="黑体" w:hAnsi="黑体" w:eastAsia="黑体" w:cs="黑体"/>
          <w:sz w:val="32"/>
          <w:szCs w:val="32"/>
        </w:rPr>
        <w:t>第五章</w:t>
      </w:r>
      <w:r>
        <w:rPr>
          <w:rFonts w:hint="eastAsia" w:ascii="黑体" w:hAnsi="黑体" w:eastAsia="黑体" w:cs="黑体"/>
          <w:sz w:val="32"/>
          <w:szCs w:val="32"/>
          <w:lang w:eastAsia="zh-CN"/>
        </w:rPr>
        <w:t>　</w:t>
      </w:r>
      <w:r>
        <w:rPr>
          <w:rFonts w:hint="eastAsia" w:ascii="黑体" w:hAnsi="黑体" w:eastAsia="黑体" w:cs="黑体"/>
          <w:sz w:val="32"/>
          <w:szCs w:val="32"/>
        </w:rPr>
        <w:t>监督检查</w:t>
      </w:r>
    </w:p>
    <w:p>
      <w:pPr>
        <w:spacing w:line="360" w:lineRule="auto"/>
        <w:rPr>
          <w:rFonts w:hint="eastAsia" w:ascii="仿宋" w:hAnsi="仿宋" w:eastAsia="仿宋" w:cs="仿宋"/>
          <w:sz w:val="32"/>
          <w:szCs w:val="32"/>
        </w:rPr>
      </w:pP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黑体" w:hAnsi="黑体" w:eastAsia="黑体" w:cs="黑体"/>
          <w:sz w:val="32"/>
          <w:szCs w:val="32"/>
        </w:rPr>
        <w:t>第三十</w:t>
      </w:r>
      <w:r>
        <w:rPr>
          <w:rFonts w:hint="eastAsia" w:ascii="黑体" w:hAnsi="黑体" w:eastAsia="黑体" w:cs="黑体"/>
          <w:sz w:val="32"/>
          <w:szCs w:val="32"/>
          <w:lang w:eastAsia="zh-CN"/>
        </w:rPr>
        <w:t>四</w:t>
      </w:r>
      <w:r>
        <w:rPr>
          <w:rFonts w:hint="eastAsia" w:ascii="黑体" w:hAnsi="黑体" w:eastAsia="黑体" w:cs="黑体"/>
          <w:sz w:val="32"/>
          <w:szCs w:val="32"/>
        </w:rPr>
        <w:t>条</w:t>
      </w:r>
      <w:r>
        <w:rPr>
          <w:rFonts w:hint="eastAsia" w:ascii="仿宋" w:hAnsi="仿宋" w:eastAsia="仿宋" w:cs="仿宋"/>
          <w:sz w:val="32"/>
          <w:szCs w:val="32"/>
          <w:lang w:eastAsia="zh-CN"/>
        </w:rPr>
        <w:t>　</w:t>
      </w:r>
      <w:r>
        <w:rPr>
          <w:rFonts w:hint="eastAsia" w:ascii="仿宋" w:hAnsi="仿宋" w:eastAsia="仿宋" w:cs="仿宋"/>
          <w:sz w:val="32"/>
          <w:szCs w:val="32"/>
        </w:rPr>
        <w:t>住房城乡建设主管部门和其他有关部门，应当依据各自管理权限对建设工程造价活动实施监督检查，对违法行为依法处理。被检查单位和个人应当予以配合，并按照要求提供相关资料。</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黑体" w:hAnsi="黑体" w:eastAsia="黑体" w:cs="黑体"/>
          <w:sz w:val="32"/>
          <w:szCs w:val="32"/>
        </w:rPr>
        <w:t>第三十</w:t>
      </w:r>
      <w:r>
        <w:rPr>
          <w:rFonts w:hint="eastAsia" w:ascii="黑体" w:hAnsi="黑体" w:eastAsia="黑体" w:cs="黑体"/>
          <w:sz w:val="32"/>
          <w:szCs w:val="32"/>
          <w:lang w:eastAsia="zh-CN"/>
        </w:rPr>
        <w:t>五</w:t>
      </w:r>
      <w:r>
        <w:rPr>
          <w:rFonts w:hint="eastAsia" w:ascii="黑体" w:hAnsi="黑体" w:eastAsia="黑体" w:cs="黑体"/>
          <w:sz w:val="32"/>
          <w:szCs w:val="32"/>
        </w:rPr>
        <w:t>条</w:t>
      </w:r>
      <w:r>
        <w:rPr>
          <w:rFonts w:hint="eastAsia" w:ascii="黑体" w:hAnsi="黑体" w:eastAsia="黑体" w:cs="黑体"/>
          <w:sz w:val="32"/>
          <w:szCs w:val="32"/>
          <w:lang w:eastAsia="zh-CN"/>
        </w:rPr>
        <w:t>　</w:t>
      </w:r>
      <w:r>
        <w:rPr>
          <w:rFonts w:hint="eastAsia" w:ascii="仿宋" w:hAnsi="仿宋" w:eastAsia="仿宋" w:cs="仿宋"/>
          <w:sz w:val="32"/>
          <w:szCs w:val="32"/>
        </w:rPr>
        <w:t>住房城乡建设主管部门应当对建设工程造价咨询企业和注册造价工程师进行动态管理，定期监督检查，并公布检查结果。</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黑体" w:hAnsi="黑体" w:eastAsia="黑体" w:cs="黑体"/>
          <w:sz w:val="32"/>
          <w:szCs w:val="32"/>
        </w:rPr>
        <w:t>第三十</w:t>
      </w:r>
      <w:r>
        <w:rPr>
          <w:rFonts w:hint="eastAsia" w:ascii="黑体" w:hAnsi="黑体" w:eastAsia="黑体" w:cs="黑体"/>
          <w:sz w:val="32"/>
          <w:szCs w:val="32"/>
          <w:lang w:eastAsia="zh-CN"/>
        </w:rPr>
        <w:t>六</w:t>
      </w:r>
      <w:r>
        <w:rPr>
          <w:rFonts w:hint="eastAsia" w:ascii="黑体" w:hAnsi="黑体" w:eastAsia="黑体" w:cs="黑体"/>
          <w:sz w:val="32"/>
          <w:szCs w:val="32"/>
        </w:rPr>
        <w:t>条</w:t>
      </w:r>
      <w:r>
        <w:rPr>
          <w:rFonts w:hint="eastAsia" w:ascii="黑体" w:hAnsi="黑体" w:eastAsia="黑体" w:cs="黑体"/>
          <w:sz w:val="32"/>
          <w:szCs w:val="32"/>
          <w:lang w:eastAsia="zh-CN"/>
        </w:rPr>
        <w:t>　</w:t>
      </w:r>
      <w:r>
        <w:rPr>
          <w:rFonts w:hint="eastAsia" w:ascii="仿宋" w:hAnsi="仿宋" w:eastAsia="仿宋" w:cs="仿宋"/>
          <w:sz w:val="32"/>
          <w:szCs w:val="32"/>
        </w:rPr>
        <w:t>省住房城乡建设主管部门应当建立工程造价咨询企业业务统计报告制度和信用档案制度。工程造价咨询企业的从业行为、信用等级评价等情况，应当记入其信用档案，并按照规定向社会公开。</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黑体" w:hAnsi="黑体" w:eastAsia="黑体" w:cs="黑体"/>
          <w:sz w:val="32"/>
          <w:szCs w:val="32"/>
        </w:rPr>
        <w:t>第三十</w:t>
      </w:r>
      <w:r>
        <w:rPr>
          <w:rFonts w:hint="eastAsia" w:ascii="黑体" w:hAnsi="黑体" w:eastAsia="黑体" w:cs="黑体"/>
          <w:sz w:val="32"/>
          <w:szCs w:val="32"/>
          <w:lang w:eastAsia="zh-CN"/>
        </w:rPr>
        <w:t>七</w:t>
      </w:r>
      <w:r>
        <w:rPr>
          <w:rFonts w:hint="eastAsia" w:ascii="黑体" w:hAnsi="黑体" w:eastAsia="黑体" w:cs="黑体"/>
          <w:sz w:val="32"/>
          <w:szCs w:val="32"/>
        </w:rPr>
        <w:t>条</w:t>
      </w:r>
      <w:r>
        <w:rPr>
          <w:rFonts w:hint="eastAsia" w:ascii="仿宋" w:hAnsi="仿宋" w:eastAsia="仿宋" w:cs="仿宋"/>
          <w:sz w:val="32"/>
          <w:szCs w:val="32"/>
          <w:lang w:eastAsia="zh-CN"/>
        </w:rPr>
        <w:t>　</w:t>
      </w:r>
      <w:r>
        <w:rPr>
          <w:rFonts w:hint="eastAsia" w:ascii="仿宋" w:hAnsi="仿宋" w:eastAsia="仿宋" w:cs="仿宋"/>
          <w:sz w:val="32"/>
          <w:szCs w:val="32"/>
        </w:rPr>
        <w:t>任何单位和个人对建设工程造价活动中的违法行为，有权向住房城乡建设主管部门或者其他有关部门进行举报，受理部门应当依法查处。</w:t>
      </w:r>
    </w:p>
    <w:p>
      <w:pPr>
        <w:spacing w:line="360" w:lineRule="auto"/>
        <w:rPr>
          <w:rFonts w:hint="eastAsia" w:ascii="仿宋" w:hAnsi="仿宋" w:eastAsia="仿宋" w:cs="仿宋"/>
          <w:sz w:val="32"/>
          <w:szCs w:val="32"/>
        </w:rPr>
      </w:pPr>
    </w:p>
    <w:p>
      <w:pPr>
        <w:spacing w:line="360" w:lineRule="auto"/>
        <w:jc w:val="center"/>
        <w:rPr>
          <w:rFonts w:hint="eastAsia" w:ascii="仿宋" w:hAnsi="仿宋" w:eastAsia="仿宋" w:cs="仿宋"/>
          <w:sz w:val="32"/>
          <w:szCs w:val="32"/>
        </w:rPr>
      </w:pPr>
      <w:r>
        <w:rPr>
          <w:rFonts w:hint="eastAsia" w:ascii="黑体" w:hAnsi="黑体" w:eastAsia="黑体" w:cs="黑体"/>
          <w:sz w:val="32"/>
          <w:szCs w:val="32"/>
        </w:rPr>
        <w:t>第六章</w:t>
      </w:r>
      <w:r>
        <w:rPr>
          <w:rFonts w:hint="eastAsia" w:ascii="黑体" w:hAnsi="黑体" w:eastAsia="黑体" w:cs="黑体"/>
          <w:sz w:val="32"/>
          <w:szCs w:val="32"/>
          <w:lang w:eastAsia="zh-CN"/>
        </w:rPr>
        <w:t>　</w:t>
      </w:r>
      <w:r>
        <w:rPr>
          <w:rFonts w:hint="eastAsia" w:ascii="黑体" w:hAnsi="黑体" w:eastAsia="黑体" w:cs="黑体"/>
          <w:sz w:val="32"/>
          <w:szCs w:val="32"/>
        </w:rPr>
        <w:t>法律责任</w:t>
      </w:r>
    </w:p>
    <w:p>
      <w:pPr>
        <w:spacing w:line="360" w:lineRule="auto"/>
        <w:rPr>
          <w:rFonts w:hint="eastAsia" w:ascii="仿宋" w:hAnsi="仿宋" w:eastAsia="仿宋" w:cs="仿宋"/>
          <w:sz w:val="32"/>
          <w:szCs w:val="32"/>
        </w:rPr>
      </w:pP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黑体" w:hAnsi="黑体" w:eastAsia="黑体" w:cs="黑体"/>
          <w:sz w:val="32"/>
          <w:szCs w:val="32"/>
        </w:rPr>
        <w:t>第三十</w:t>
      </w:r>
      <w:r>
        <w:rPr>
          <w:rFonts w:hint="eastAsia" w:ascii="黑体" w:hAnsi="黑体" w:eastAsia="黑体" w:cs="黑体"/>
          <w:sz w:val="32"/>
          <w:szCs w:val="32"/>
          <w:lang w:eastAsia="zh-CN"/>
        </w:rPr>
        <w:t>八</w:t>
      </w:r>
      <w:r>
        <w:rPr>
          <w:rFonts w:hint="eastAsia" w:ascii="黑体" w:hAnsi="黑体" w:eastAsia="黑体" w:cs="黑体"/>
          <w:sz w:val="32"/>
          <w:szCs w:val="32"/>
        </w:rPr>
        <w:t>条</w:t>
      </w:r>
      <w:r>
        <w:rPr>
          <w:rFonts w:hint="eastAsia" w:ascii="黑体" w:hAnsi="黑体" w:eastAsia="黑体" w:cs="黑体"/>
          <w:sz w:val="32"/>
          <w:szCs w:val="32"/>
          <w:lang w:eastAsia="zh-CN"/>
        </w:rPr>
        <w:t>　</w:t>
      </w:r>
      <w:r>
        <w:rPr>
          <w:rFonts w:hint="eastAsia" w:ascii="仿宋" w:hAnsi="仿宋" w:eastAsia="仿宋" w:cs="仿宋"/>
          <w:sz w:val="32"/>
          <w:szCs w:val="32"/>
        </w:rPr>
        <w:t>违反本办法规定的行为，法律、法规、规章已作出处罚规定的，从其规定；未作出规定的，依照本办法的规定进行处罚。</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黑体" w:hAnsi="黑体" w:eastAsia="黑体" w:cs="黑体"/>
          <w:sz w:val="32"/>
          <w:szCs w:val="32"/>
        </w:rPr>
        <w:t>第</w:t>
      </w:r>
      <w:r>
        <w:rPr>
          <w:rFonts w:hint="eastAsia" w:ascii="黑体" w:hAnsi="黑体" w:eastAsia="黑体" w:cs="黑体"/>
          <w:sz w:val="32"/>
          <w:szCs w:val="32"/>
          <w:lang w:eastAsia="zh-CN"/>
        </w:rPr>
        <w:t>三十九</w:t>
      </w:r>
      <w:r>
        <w:rPr>
          <w:rFonts w:hint="eastAsia" w:ascii="黑体" w:hAnsi="黑体" w:eastAsia="黑体" w:cs="黑体"/>
          <w:sz w:val="32"/>
          <w:szCs w:val="32"/>
        </w:rPr>
        <w:t>条</w:t>
      </w:r>
      <w:r>
        <w:rPr>
          <w:rFonts w:hint="eastAsia" w:ascii="黑体" w:hAnsi="黑体" w:eastAsia="黑体" w:cs="黑体"/>
          <w:sz w:val="32"/>
          <w:szCs w:val="32"/>
          <w:lang w:eastAsia="zh-CN"/>
        </w:rPr>
        <w:t>　</w:t>
      </w:r>
      <w:r>
        <w:rPr>
          <w:rFonts w:hint="eastAsia" w:ascii="仿宋" w:hAnsi="仿宋" w:eastAsia="仿宋" w:cs="仿宋"/>
          <w:sz w:val="32"/>
          <w:szCs w:val="32"/>
        </w:rPr>
        <w:t>违反本办法规定，约定以审减额作为计取工程造价咨询服务费的主要依据的，由住房城乡建设主管部门责令改正，可以处5000元以上3万元以下罚款。</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黑体" w:hAnsi="黑体" w:eastAsia="黑体" w:cs="黑体"/>
          <w:sz w:val="32"/>
          <w:szCs w:val="32"/>
        </w:rPr>
        <w:t>第四十条</w:t>
      </w:r>
      <w:r>
        <w:rPr>
          <w:rFonts w:hint="eastAsia" w:ascii="仿宋" w:hAnsi="仿宋" w:eastAsia="仿宋" w:cs="仿宋"/>
          <w:sz w:val="32"/>
          <w:szCs w:val="32"/>
          <w:lang w:eastAsia="zh-CN"/>
        </w:rPr>
        <w:t>　</w:t>
      </w:r>
      <w:r>
        <w:rPr>
          <w:rFonts w:hint="eastAsia" w:ascii="仿宋" w:hAnsi="仿宋" w:eastAsia="仿宋" w:cs="仿宋"/>
          <w:sz w:val="32"/>
          <w:szCs w:val="32"/>
        </w:rPr>
        <w:t>违反本办法规定，建设单位在工程结算文件经当事人签字确认后，违反规定再次委托审核的，由住房城乡建设主管部门责令改正，可以处5000元以上3万元以下罚款。</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黑体" w:hAnsi="黑体" w:eastAsia="黑体" w:cs="黑体"/>
          <w:sz w:val="32"/>
          <w:szCs w:val="32"/>
        </w:rPr>
        <w:t>第四十一条</w:t>
      </w:r>
      <w:r>
        <w:rPr>
          <w:rFonts w:hint="eastAsia" w:ascii="黑体" w:hAnsi="黑体" w:eastAsia="黑体" w:cs="黑体"/>
          <w:sz w:val="32"/>
          <w:szCs w:val="32"/>
          <w:lang w:eastAsia="zh-CN"/>
        </w:rPr>
        <w:t>　</w:t>
      </w:r>
      <w:r>
        <w:rPr>
          <w:rFonts w:hint="eastAsia" w:ascii="仿宋" w:hAnsi="仿宋" w:eastAsia="仿宋" w:cs="仿宋"/>
          <w:sz w:val="32"/>
          <w:szCs w:val="32"/>
        </w:rPr>
        <w:t>违反本办法规定，工程造价咨询企业在工程造价成果文件上使用非承担本项目人员的名义和印章的，由住房城乡建设主管部门责令改正，可以处1万元以上3万元以下罚款。</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黑体" w:hAnsi="黑体" w:eastAsia="黑体" w:cs="黑体"/>
          <w:sz w:val="32"/>
          <w:szCs w:val="32"/>
        </w:rPr>
        <w:t>第四十</w:t>
      </w:r>
      <w:r>
        <w:rPr>
          <w:rFonts w:hint="eastAsia" w:ascii="黑体" w:hAnsi="黑体" w:eastAsia="黑体" w:cs="黑体"/>
          <w:sz w:val="32"/>
          <w:szCs w:val="32"/>
          <w:lang w:eastAsia="zh-CN"/>
        </w:rPr>
        <w:t>二</w:t>
      </w:r>
      <w:r>
        <w:rPr>
          <w:rFonts w:hint="eastAsia" w:ascii="黑体" w:hAnsi="黑体" w:eastAsia="黑体" w:cs="黑体"/>
          <w:sz w:val="32"/>
          <w:szCs w:val="32"/>
        </w:rPr>
        <w:t>条</w:t>
      </w:r>
      <w:r>
        <w:rPr>
          <w:rFonts w:hint="eastAsia" w:ascii="黑体" w:hAnsi="黑体" w:eastAsia="黑体" w:cs="黑体"/>
          <w:sz w:val="32"/>
          <w:szCs w:val="32"/>
          <w:lang w:eastAsia="zh-CN"/>
        </w:rPr>
        <w:t>　</w:t>
      </w:r>
      <w:r>
        <w:rPr>
          <w:rFonts w:hint="eastAsia" w:ascii="仿宋" w:hAnsi="仿宋" w:eastAsia="仿宋" w:cs="仿宋"/>
          <w:sz w:val="32"/>
          <w:szCs w:val="32"/>
        </w:rPr>
        <w:t>住房城乡建设主管部门和其他有关部门工作人员在建设工程造价管理工作中滥用职权、玩忽职守、徇私舞弊的，依法给予处分；构成犯罪的，依法追究刑事责任。</w:t>
      </w:r>
    </w:p>
    <w:p>
      <w:pPr>
        <w:spacing w:line="360" w:lineRule="auto"/>
        <w:rPr>
          <w:rFonts w:hint="eastAsia" w:ascii="仿宋" w:hAnsi="仿宋" w:eastAsia="仿宋" w:cs="仿宋"/>
          <w:sz w:val="32"/>
          <w:szCs w:val="32"/>
        </w:rPr>
      </w:pPr>
    </w:p>
    <w:p>
      <w:pPr>
        <w:spacing w:line="360" w:lineRule="auto"/>
        <w:jc w:val="center"/>
        <w:rPr>
          <w:rFonts w:hint="eastAsia" w:ascii="仿宋" w:hAnsi="仿宋" w:eastAsia="仿宋" w:cs="仿宋"/>
          <w:sz w:val="32"/>
          <w:szCs w:val="32"/>
        </w:rPr>
      </w:pPr>
      <w:bookmarkStart w:id="0" w:name="_GoBack"/>
      <w:bookmarkEnd w:id="0"/>
      <w:r>
        <w:rPr>
          <w:rFonts w:hint="eastAsia" w:ascii="黑体" w:hAnsi="黑体" w:eastAsia="黑体" w:cs="黑体"/>
          <w:sz w:val="32"/>
          <w:szCs w:val="32"/>
        </w:rPr>
        <w:t>第七章</w:t>
      </w:r>
      <w:r>
        <w:rPr>
          <w:rFonts w:hint="eastAsia" w:ascii="黑体" w:hAnsi="黑体" w:eastAsia="黑体" w:cs="黑体"/>
          <w:sz w:val="32"/>
          <w:szCs w:val="32"/>
          <w:lang w:eastAsia="zh-CN"/>
        </w:rPr>
        <w:t>　</w:t>
      </w:r>
      <w:r>
        <w:rPr>
          <w:rFonts w:hint="eastAsia" w:ascii="黑体" w:hAnsi="黑体" w:eastAsia="黑体" w:cs="黑体"/>
          <w:sz w:val="32"/>
          <w:szCs w:val="32"/>
        </w:rPr>
        <w:t>附</w:t>
      </w:r>
      <w:r>
        <w:rPr>
          <w:rFonts w:hint="eastAsia" w:ascii="黑体" w:hAnsi="黑体" w:eastAsia="黑体" w:cs="黑体"/>
          <w:sz w:val="32"/>
          <w:szCs w:val="32"/>
          <w:lang w:eastAsia="zh-CN"/>
        </w:rPr>
        <w:t>　</w:t>
      </w:r>
      <w:r>
        <w:rPr>
          <w:rFonts w:hint="eastAsia" w:ascii="黑体" w:hAnsi="黑体" w:eastAsia="黑体" w:cs="黑体"/>
          <w:sz w:val="32"/>
          <w:szCs w:val="32"/>
        </w:rPr>
        <w:t>则</w:t>
      </w:r>
    </w:p>
    <w:p>
      <w:pPr>
        <w:spacing w:line="360" w:lineRule="auto"/>
        <w:rPr>
          <w:rFonts w:hint="eastAsia" w:ascii="仿宋" w:hAnsi="仿宋" w:eastAsia="仿宋" w:cs="仿宋"/>
          <w:sz w:val="32"/>
          <w:szCs w:val="32"/>
        </w:rPr>
      </w:pP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theme="minorEastAsia"/>
          <w:sz w:val="32"/>
          <w:szCs w:val="32"/>
        </w:rPr>
      </w:pPr>
      <w:r>
        <w:rPr>
          <w:rFonts w:hint="eastAsia" w:ascii="黑体" w:hAnsi="黑体" w:eastAsia="黑体" w:cs="黑体"/>
          <w:sz w:val="32"/>
          <w:szCs w:val="32"/>
        </w:rPr>
        <w:t>第四十</w:t>
      </w:r>
      <w:r>
        <w:rPr>
          <w:rFonts w:hint="eastAsia" w:ascii="黑体" w:hAnsi="黑体" w:eastAsia="黑体" w:cs="黑体"/>
          <w:sz w:val="32"/>
          <w:szCs w:val="32"/>
          <w:lang w:eastAsia="zh-CN"/>
        </w:rPr>
        <w:t>三</w:t>
      </w:r>
      <w:r>
        <w:rPr>
          <w:rFonts w:hint="eastAsia" w:ascii="黑体" w:hAnsi="黑体" w:eastAsia="黑体" w:cs="黑体"/>
          <w:sz w:val="32"/>
          <w:szCs w:val="32"/>
        </w:rPr>
        <w:t>条</w:t>
      </w:r>
      <w:r>
        <w:rPr>
          <w:rFonts w:hint="eastAsia" w:ascii="黑体" w:hAnsi="黑体" w:eastAsia="黑体" w:cs="黑体"/>
          <w:sz w:val="32"/>
          <w:szCs w:val="32"/>
          <w:lang w:eastAsia="zh-CN"/>
        </w:rPr>
        <w:t>　</w:t>
      </w:r>
      <w:r>
        <w:rPr>
          <w:rFonts w:hint="eastAsia" w:ascii="仿宋" w:hAnsi="仿宋" w:eastAsia="仿宋" w:cs="仿宋"/>
          <w:sz w:val="32"/>
          <w:szCs w:val="32"/>
        </w:rPr>
        <w:t>本办法自2012年7月1日起施行。</w:t>
      </w:r>
    </w:p>
    <w:sectPr>
      <w:headerReference r:id="rId3" w:type="default"/>
      <w:footerReference r:id="rId4" w:type="default"/>
      <w:pgSz w:w="11906" w:h="16838"/>
      <w:pgMar w:top="1962" w:right="1474" w:bottom="1848"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Arial">
    <w:panose1 w:val="020B0604020202020204"/>
    <w:charset w:val="01"/>
    <w:family w:val="roman"/>
    <w:pitch w:val="default"/>
    <w:sig w:usb0="E0002AFF" w:usb1="C0007843" w:usb2="00000009" w:usb3="00000000" w:csb0="400001FF" w:csb1="FFFF0000"/>
  </w:font>
  <w:font w:name="Courier New">
    <w:panose1 w:val="02070309020205020404"/>
    <w:charset w:val="01"/>
    <w:family w:val="decorative"/>
    <w:pitch w:val="default"/>
    <w:sig w:usb0="E0002A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Cambria">
    <w:panose1 w:val="02040503050406030204"/>
    <w:charset w:val="00"/>
    <w:family w:val="decorative"/>
    <w:pitch w:val="default"/>
    <w:sig w:usb0="E00002FF" w:usb1="400004FF" w:usb2="00000000" w:usb3="00000000" w:csb0="2000019F" w:csb1="00000000"/>
  </w:font>
  <w:font w:name="Calibri">
    <w:panose1 w:val="020F0502020204030204"/>
    <w:charset w:val="00"/>
    <w:family w:val="modern"/>
    <w:pitch w:val="default"/>
    <w:sig w:usb0="E00002FF" w:usb1="4000ACFF" w:usb2="00000001" w:usb3="00000000" w:csb0="2000019F" w:csb1="00000000"/>
  </w:font>
  <w:font w:name="Calibri">
    <w:panose1 w:val="020F0502020204030204"/>
    <w:charset w:val="00"/>
    <w:family w:val="decorative"/>
    <w:pitch w:val="default"/>
    <w:sig w:usb0="E00002FF" w:usb1="4000ACFF" w:usb2="00000001" w:usb3="00000000" w:csb0="2000019F" w:csb1="00000000"/>
  </w:font>
  <w:font w:name="仿宋">
    <w:panose1 w:val="02010609060101010101"/>
    <w:charset w:val="86"/>
    <w:family w:val="swiss"/>
    <w:pitch w:val="default"/>
    <w:sig w:usb0="800002BF" w:usb1="38CF7CFA" w:usb2="00000016" w:usb3="00000000" w:csb0="00040001" w:csb1="00000000"/>
  </w:font>
  <w:font w:name="方正小标宋_GBK">
    <w:panose1 w:val="03000509000000000000"/>
    <w:charset w:val="86"/>
    <w:family w:val="script"/>
    <w:pitch w:val="default"/>
    <w:sig w:usb0="00000001" w:usb1="080E0000" w:usb2="00000000" w:usb3="00000000" w:csb0="00040000" w:csb1="00000000"/>
  </w:font>
  <w:font w:name="楷体_GB2312">
    <w:panose1 w:val="02010609030101010101"/>
    <w:charset w:val="86"/>
    <w:family w:val="swiss"/>
    <w:pitch w:val="default"/>
    <w:sig w:usb0="00000001" w:usb1="080E0000" w:usb2="00000000" w:usb3="00000000" w:csb0="00040000" w:csb1="00000000"/>
  </w:font>
  <w:font w:name="仿宋_GB2312">
    <w:panose1 w:val="02010609030101010101"/>
    <w:charset w:val="86"/>
    <w:family w:val="swiss"/>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Arial">
    <w:panose1 w:val="020B0604020202020204"/>
    <w:charset w:val="01"/>
    <w:family w:val="modern"/>
    <w:pitch w:val="default"/>
    <w:sig w:usb0="E0002AFF" w:usb1="C0007843" w:usb2="00000009" w:usb3="00000000" w:csb0="400001FF" w:csb1="FFFF0000"/>
  </w:font>
  <w:font w:name="Courier New">
    <w:panose1 w:val="02070309020205020404"/>
    <w:charset w:val="01"/>
    <w:family w:val="roman"/>
    <w:pitch w:val="default"/>
    <w:sig w:usb0="E0002AFF" w:usb1="C0007843" w:usb2="00000009" w:usb3="00000000" w:csb0="400001FF" w:csb1="FFFF0000"/>
  </w:font>
  <w:font w:name="Symbol">
    <w:panose1 w:val="05050102010706020507"/>
    <w:charset w:val="02"/>
    <w:family w:val="decorative"/>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Calibri">
    <w:panose1 w:val="020F0502020204030204"/>
    <w:charset w:val="00"/>
    <w:family w:val="roman"/>
    <w:pitch w:val="default"/>
    <w:sig w:usb0="E00002FF" w:usb1="4000ACFF" w:usb2="00000001" w:usb3="00000000" w:csb0="2000019F" w:csb1="00000000"/>
  </w:font>
  <w:font w:name="仿宋">
    <w:panose1 w:val="02010609060101010101"/>
    <w:charset w:val="86"/>
    <w:family w:val="decorative"/>
    <w:pitch w:val="default"/>
    <w:sig w:usb0="800002BF" w:usb1="38CF7CFA" w:usb2="00000016" w:usb3="00000000" w:csb0="00040001" w:csb1="00000000"/>
  </w:font>
  <w:font w:name="楷体_GB2312">
    <w:panose1 w:val="02010609030101010101"/>
    <w:charset w:val="86"/>
    <w:family w:val="decorative"/>
    <w:pitch w:val="default"/>
    <w:sig w:usb0="00000001" w:usb1="080E0000" w:usb2="00000000" w:usb3="00000000" w:csb0="00040000" w:csb1="00000000"/>
  </w:font>
  <w:font w:name="仿宋_GB2312">
    <w:panose1 w:val="02010609030101010101"/>
    <w:charset w:val="86"/>
    <w:family w:val="decorative"/>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pPr>
      <w:pStyle w:val="4"/>
      <w:ind w:left="4788" w:leftChars="2280" w:firstLine="6400" w:firstLineChars="2000"/>
      <w:rPr>
        <w:rFonts w:eastAsia="仿宋"/>
        <w:sz w:val="32"/>
        <w:szCs w:val="48"/>
      </w:rPr>
    </w:pPr>
    <w:r>
      <w:rPr>
        <w:sz w:val="32"/>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CzSVju0AAAAAUBAAAPAAAAAAAAAAEAIAAAACIAAABk&#10;cnMvZG93bnJldi54bWxQSwECFAAUAAAACACHTuJABEkaiw4CAAAHBAAADgAAAAAAAAABACAAAAAf&#10;AQAAZHJzL2Uyb0RvYy54bWxQSwUGAAAAAAYABgBZAQAAnwUAAAAA&#10;">
              <v:fill on="f" focussize="0,0"/>
              <v:stroke on="f" weight="0.5pt"/>
              <v:imagedata o:title=""/>
              <o:lock v:ext="edit" aspectratio="f"/>
              <v:textbox inset="0mm,0mm,0mm,0mm" style="mso-fit-shape-to-text:t;">
                <w:txbxContent>
                  <w:p>
                    <w:pPr>
                      <w:pStyle w:val="3"/>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p>
                </w:txbxContent>
              </v:textbox>
            </v:shape>
          </w:pict>
        </mc:Fallback>
      </mc:AlternateContent>
    </w:r>
    <w:r>
      <w:rPr>
        <w:rFonts w:hint="eastAsia" w:eastAsia="仿宋"/>
        <w:sz w:val="32"/>
        <w:szCs w:val="48"/>
      </w:rPr>
      <w:t xml:space="preserve">  </w:t>
    </w:r>
  </w:p>
  <w:p>
    <w:pPr>
      <w:pStyle w:val="4"/>
      <w:wordWrap w:val="0"/>
      <w:ind w:left="4788" w:leftChars="2280" w:firstLine="6400" w:firstLineChars="2000"/>
      <w:jc w:val="right"/>
      <w:rPr>
        <w:rFonts w:ascii="宋体" w:hAnsi="宋体" w:eastAsia="宋体" w:cs="宋体"/>
        <w:b/>
        <w:bCs/>
        <w:color w:val="005192"/>
        <w:sz w:val="28"/>
        <w:szCs w:val="44"/>
      </w:rPr>
    </w:pPr>
    <w:r>
      <w:rPr>
        <w:color w:val="FAFAFA"/>
        <w:sz w:val="32"/>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74295</wp:posOffset>
              </wp:positionV>
              <wp:extent cx="5616575" cy="1905"/>
              <wp:effectExtent l="0" t="10795" r="3175" b="15875"/>
              <wp:wrapNone/>
              <wp:docPr id="5" name="直接连接符 5"/>
              <wp:cNvGraphicFramePr/>
              <a:graphic xmlns:a="http://schemas.openxmlformats.org/drawingml/2006/main">
                <a:graphicData uri="http://schemas.microsoft.com/office/word/2010/wordprocessingShape">
                  <wps:wsp>
                    <wps:cNvCnPr/>
                    <wps:spPr>
                      <a:xfrm>
                        <a:off x="0" y="0"/>
                        <a:ext cx="5616575" cy="1905"/>
                      </a:xfrm>
                      <a:prstGeom prst="line">
                        <a:avLst/>
                      </a:prstGeom>
                      <a:ln w="22225">
                        <a:solidFill>
                          <a:srgbClr val="00519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margin-left:0pt;margin-top:5.85pt;height:0.15pt;width:442.25pt;z-index:251660288;mso-width-relative:page;mso-height-relative:page;" filled="f" stroked="t" coordsize="21600,21600" o:gfxdata="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">
              <v:fill on="f" focussize="0,0"/>
              <v:stroke weight="1.75pt" color="#005192 [3204]" miterlimit="8" joinstyle="miter"/>
              <v:imagedata o:title=""/>
              <o:lock v:ext="edit" aspectratio="f"/>
            </v:line>
          </w:pict>
        </mc:Fallback>
      </mc:AlternateContent>
    </w:r>
    <w:r>
      <w:rPr>
        <w:rFonts w:hint="eastAsia" w:eastAsia="仿宋"/>
        <w:color w:val="FAFAFA"/>
        <w:sz w:val="32"/>
        <w:szCs w:val="48"/>
      </w:rPr>
      <w:t>X</w:t>
    </w:r>
    <w:r>
      <w:rPr>
        <w:rFonts w:hint="eastAsia" w:ascii="宋体" w:hAnsi="宋体" w:eastAsia="宋体" w:cs="宋体"/>
        <w:b/>
        <w:bCs/>
        <w:color w:val="005192"/>
        <w:sz w:val="28"/>
        <w:szCs w:val="44"/>
      </w:rPr>
      <w:t xml:space="preserve">山东省人民政府发布     </w:t>
    </w:r>
  </w:p>
  <w:p>
    <w:pPr>
      <w:pStyle w:val="4"/>
      <w:wordWrap w:val="0"/>
      <w:ind w:left="4788" w:leftChars="2280" w:firstLine="5622" w:firstLineChars="2000"/>
      <w:jc w:val="right"/>
      <w:rPr>
        <w:rFonts w:ascii="宋体" w:hAnsi="宋体" w:eastAsia="宋体" w:cs="宋体"/>
        <w:b/>
        <w:bCs/>
        <w:color w:val="005192"/>
        <w:sz w:val="28"/>
        <w:szCs w:val="44"/>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pPr>
      <w:pStyle w:val="4"/>
      <w:textAlignment w:val="center"/>
      <w:rPr>
        <w:rFonts w:ascii="宋体" w:hAnsi="宋体" w:eastAsia="宋体" w:cs="宋体"/>
        <w:b/>
        <w:bCs/>
        <w:color w:val="005192"/>
        <w:sz w:val="32"/>
      </w:rPr>
    </w:pPr>
    <w:r>
      <w:rPr>
        <w:rFonts w:hint="eastAsia" w:ascii="宋体" w:hAnsi="宋体" w:eastAsia="宋体" w:cs="宋体"/>
        <w:b/>
        <w:bCs/>
        <w:color w:val="005192"/>
        <w:sz w:val="32"/>
      </w:rPr>
      <mc:AlternateContent>
        <mc:Choice Requires="wps">
          <w:drawing>
            <wp:anchor distT="0" distB="0" distL="114300" distR="114300" simplePos="0" relativeHeight="251659264" behindDoc="0" locked="0" layoutInCell="1" allowOverlap="1">
              <wp:simplePos x="0" y="0"/>
              <wp:positionH relativeFrom="column">
                <wp:posOffset>-3810</wp:posOffset>
              </wp:positionH>
              <wp:positionV relativeFrom="paragraph">
                <wp:posOffset>690245</wp:posOffset>
              </wp:positionV>
              <wp:extent cx="5620385" cy="0"/>
              <wp:effectExtent l="0" t="12700" r="18415" b="15875"/>
              <wp:wrapNone/>
              <wp:docPr id="4" name="直接连接符 4"/>
              <wp:cNvGraphicFramePr/>
              <a:graphic xmlns:a="http://schemas.openxmlformats.org/drawingml/2006/main">
                <a:graphicData uri="http://schemas.microsoft.com/office/word/2010/wordprocessingShape">
                  <wps:wsp>
                    <wps:cNvCnPr/>
                    <wps:spPr>
                      <a:xfrm>
                        <a:off x="4133850" y="864870"/>
                        <a:ext cx="5620385" cy="0"/>
                      </a:xfrm>
                      <a:prstGeom prst="line">
                        <a:avLst/>
                      </a:prstGeom>
                      <a:ln w="22225">
                        <a:solidFill>
                          <a:srgbClr val="00519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margin-left:-0.3pt;margin-top:54.35pt;height:0pt;width:442.55pt;z-index:251659264;mso-width-relative:page;mso-height-relative:page;" filled="f" stroked="t" coordsize="21600,21600" o:gfxdata="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1EdA1tUAAAAJAQAADwAAAAAAAAABACAA&#10;AAAiAAAAZHJzL2Rvd25yZXYueG1sUEsBAhQAFAAAAAgAh07iQOPuMRnXAQAAbwMAAA4AAAAAAAAA&#10;AQAgAAAAJAEAAGRycy9lMm9Eb2MueG1sUEsFBgAAAAAGAAYAWQEAAG0FAAAAAA==&#10;">
              <v:fill on="f" focussize="0,0"/>
              <v:stroke weight="1.75pt" color="#005192 [3204]" miterlimit="8" joinstyle="miter"/>
              <v:imagedata o:title=""/>
              <o:lock v:ext="edit" aspectratio="f"/>
            </v:line>
          </w:pict>
        </mc:Fallback>
      </mc:AlternateContent>
    </w:r>
  </w:p>
  <w:p>
    <w:pPr>
      <w:pStyle w:val="4"/>
      <w:textAlignment w:val="center"/>
      <w:rPr>
        <w:rFonts w:ascii="宋体" w:hAnsi="宋体" w:eastAsia="宋体" w:cs="宋体"/>
        <w:b/>
        <w:bCs/>
        <w:color w:val="005192"/>
        <w:sz w:val="32"/>
        <w:szCs w:val="32"/>
      </w:rPr>
    </w:pPr>
    <w:r>
      <w:rPr>
        <w:rFonts w:hint="eastAsia" w:ascii="宋体" w:hAnsi="宋体" w:eastAsia="宋体" w:cs="宋体"/>
        <w:b/>
        <w:bCs/>
        <w:color w:val="005192"/>
        <w:sz w:val="32"/>
      </w:rPr>
      <w:drawing>
        <wp:inline distT="0" distB="0" distL="114300" distR="114300">
          <wp:extent cx="308610" cy="308610"/>
          <wp:effectExtent l="0" t="0" r="11430" b="11430"/>
          <wp:docPr id="6" name="图片 6" descr="国徽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国徽1024"/>
                  <pic:cNvPicPr>
                    <a:picLocks noChangeAspect="1"/>
                  </pic:cNvPicPr>
                </pic:nvPicPr>
                <pic:blipFill>
                  <a:blip r:embed="rId1"/>
                  <a:stretch>
                    <a:fillRect/>
                  </a:stretch>
                </pic:blipFill>
                <pic:spPr>
                  <a:xfrm>
                    <a:off x="0" y="0"/>
                    <a:ext cx="308610" cy="308610"/>
                  </a:xfrm>
                  <a:prstGeom prst="rect">
                    <a:avLst/>
                  </a:prstGeom>
                </pic:spPr>
              </pic:pic>
            </a:graphicData>
          </a:graphic>
        </wp:inline>
      </w:drawing>
    </w:r>
    <w:r>
      <w:rPr>
        <w:rFonts w:hint="eastAsia" w:ascii="宋体" w:hAnsi="宋体" w:eastAsia="宋体" w:cs="宋体"/>
        <w:b/>
        <w:bCs/>
        <w:color w:val="005192"/>
        <w:sz w:val="32"/>
        <w:szCs w:val="32"/>
      </w:rPr>
      <w:t>山东省人民政府规章</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Q4NjYwYjAyMmViMDU3NjMwMzVhMjMzOGM3MzY1MTkifQ=="/>
  </w:docVars>
  <w:rsids>
    <w:rsidRoot w:val="00172A27"/>
    <w:rsid w:val="00172A27"/>
    <w:rsid w:val="001B6992"/>
    <w:rsid w:val="00496090"/>
    <w:rsid w:val="00892ED1"/>
    <w:rsid w:val="008F0BFA"/>
    <w:rsid w:val="00A11914"/>
    <w:rsid w:val="00AA2A39"/>
    <w:rsid w:val="00B5050A"/>
    <w:rsid w:val="00B64987"/>
    <w:rsid w:val="00C408A4"/>
    <w:rsid w:val="00FC11B4"/>
    <w:rsid w:val="019E71BD"/>
    <w:rsid w:val="04B679C3"/>
    <w:rsid w:val="0716432D"/>
    <w:rsid w:val="080F63D8"/>
    <w:rsid w:val="09341458"/>
    <w:rsid w:val="0B0912D7"/>
    <w:rsid w:val="152D2DCA"/>
    <w:rsid w:val="16414490"/>
    <w:rsid w:val="179A39E0"/>
    <w:rsid w:val="1DEC284C"/>
    <w:rsid w:val="1E6523AC"/>
    <w:rsid w:val="205D34A2"/>
    <w:rsid w:val="22440422"/>
    <w:rsid w:val="31A15F24"/>
    <w:rsid w:val="395347B5"/>
    <w:rsid w:val="39A232A0"/>
    <w:rsid w:val="39E745AA"/>
    <w:rsid w:val="3A0C39B0"/>
    <w:rsid w:val="3B5A6BBB"/>
    <w:rsid w:val="3D456592"/>
    <w:rsid w:val="3ED65A24"/>
    <w:rsid w:val="3EDA13A6"/>
    <w:rsid w:val="42F058B7"/>
    <w:rsid w:val="436109F6"/>
    <w:rsid w:val="441A38D4"/>
    <w:rsid w:val="4BC77339"/>
    <w:rsid w:val="4C9236C5"/>
    <w:rsid w:val="4DA222EA"/>
    <w:rsid w:val="505C172E"/>
    <w:rsid w:val="52F46F0B"/>
    <w:rsid w:val="53D8014D"/>
    <w:rsid w:val="55E064E0"/>
    <w:rsid w:val="572C6D10"/>
    <w:rsid w:val="5DC34279"/>
    <w:rsid w:val="608816D1"/>
    <w:rsid w:val="60EF4E7F"/>
    <w:rsid w:val="665233C1"/>
    <w:rsid w:val="681419D0"/>
    <w:rsid w:val="6AD9688B"/>
    <w:rsid w:val="6D0E3F22"/>
    <w:rsid w:val="7C9011D9"/>
    <w:rsid w:val="7DC651C5"/>
    <w:rsid w:val="7FCC2834"/>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unhideWhenUsed/>
    <w:uiPriority w:val="1"/>
  </w:style>
  <w:style w:type="table" w:default="1" w:styleId="9">
    <w:name w:val="Normal Table"/>
    <w:unhideWhenUsed/>
    <w:qFormat/>
    <w:uiPriority w:val="99"/>
    <w:tblPr>
      <w:tblLayout w:type="fixed"/>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5">
    <w:name w:val="Normal (Web)"/>
    <w:next w:val="4"/>
    <w:qFormat/>
    <w:uiPriority w:val="0"/>
    <w:pPr>
      <w:spacing w:before="100" w:beforeAutospacing="1" w:after="100" w:afterAutospacing="1"/>
    </w:pPr>
    <w:rPr>
      <w:rFonts w:ascii="宋体" w:hAnsi="Times New Roman" w:eastAsia="宋体" w:cs="宋体"/>
      <w:sz w:val="24"/>
      <w:szCs w:val="24"/>
      <w:lang w:val="en-US" w:eastAsia="zh-CN" w:bidi="ar-SA"/>
    </w:rPr>
  </w:style>
  <w:style w:type="character" w:styleId="7">
    <w:name w:val="Strong"/>
    <w:qFormat/>
    <w:uiPriority w:val="0"/>
    <w:rPr>
      <w:b/>
      <w:bCs/>
    </w:rPr>
  </w:style>
  <w:style w:type="character" w:styleId="8">
    <w:name w:val="annotation reference"/>
    <w:basedOn w:val="6"/>
    <w:qFormat/>
    <w:uiPriority w:val="0"/>
    <w:rPr>
      <w:sz w:val="21"/>
      <w:szCs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15</Pages>
  <Words>840</Words>
  <Characters>4789</Characters>
  <Lines>39</Lines>
  <Paragraphs>11</Paragraphs>
  <TotalTime>0</TotalTime>
  <ScaleCrop>false</ScaleCrop>
  <LinksUpToDate>false</LinksUpToDate>
  <CharactersWithSpaces>5618</CharactersWithSpaces>
  <Application>WPS Office_10.8.0.5391_F1E327BC-269C-435d-A152-05C5408002CA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2021-12-09T06:07:00Z</dcterms:created>
  <dc:creator>t</dc:creator>
  <cp:lastModifiedBy>user</cp:lastModifiedBy>
  <cp:lastPrinted>2021-10-26T03:30:00Z</cp:lastPrinted>
  <dcterms:modified xsi:type="dcterms:W3CDTF">2024-12-18T02:45:45Z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2052-10.8.0.5391</vt:lpwstr>
  </property>
  <property fmtid="{D5CDD505-2E9C-101B-9397-08002B2CF9AE}" pid="3" name="ICV">
    <vt:lpwstr>48C61CB29D3F4D9384F5922CF0F7FFB4</vt:lpwstr>
  </property>
</Properties>
</file>